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0"/>
      <w:r w:rsidRPr="00A06F37">
        <w:rPr>
          <w:rFonts w:ascii="Calibri" w:hAnsi="Calibri" w:cs="Calibri"/>
        </w:rPr>
        <w:t>Résumé</w:t>
      </w:r>
      <w:commentRangeEnd w:id="0"/>
      <w:r w:rsidRPr="00A06F37">
        <w:rPr>
          <w:rStyle w:val="Marquedecommentaire"/>
          <w:rFonts w:ascii="Calibri" w:eastAsia="Times New Roman" w:hAnsi="Calibri" w:cs="Calibri"/>
          <w:color w:val="auto"/>
          <w:spacing w:val="0"/>
          <w:kern w:val="0"/>
        </w:rPr>
        <w:commentReference w:id="0"/>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1"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2" w:name="OLE_LINK1"/>
      <w:bookmarkStart w:id="3" w:name="OLE_LINK2"/>
      <w:r w:rsidRPr="00A06F37">
        <w:lastRenderedPageBreak/>
        <w:t xml:space="preserve">I- </w:t>
      </w:r>
      <w:bookmarkEnd w:id="1"/>
      <w:r w:rsidR="008952C2">
        <w:t>INTRODUCTION</w:t>
      </w:r>
    </w:p>
    <w:bookmarkEnd w:id="2"/>
    <w:bookmarkEnd w:id="3"/>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22B9F2E4" w:rsidR="00412AC2" w:rsidRDefault="00412AC2" w:rsidP="00412AC2">
      <w:pPr>
        <w:pStyle w:val="Titre"/>
      </w:pPr>
      <w:r w:rsidRPr="00A06F37">
        <w:lastRenderedPageBreak/>
        <w:t>I</w:t>
      </w:r>
      <w:r>
        <w:t>I</w:t>
      </w:r>
      <w:r w:rsidRPr="00A06F37">
        <w:t xml:space="preserve">- </w:t>
      </w:r>
      <w:r>
        <w:t>revue bibliographique</w:t>
      </w:r>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77777777" w:rsidR="00151D10" w:rsidRPr="00FE2EC6" w:rsidRDefault="00151D10" w:rsidP="00151D10">
      <w:pPr>
        <w:spacing w:line="360" w:lineRule="auto"/>
        <w:rPr>
          <w:b/>
          <w:sz w:val="24"/>
          <w:szCs w:val="24"/>
        </w:rPr>
      </w:pPr>
      <w:r w:rsidRPr="00FE2EC6">
        <w:rPr>
          <w:b/>
          <w:sz w:val="24"/>
          <w:szCs w:val="24"/>
        </w:rPr>
        <w:t>Revu plus ancienne :</w:t>
      </w:r>
    </w:p>
    <w:p w14:paraId="6D2E573D" w14:textId="5A3D4D84" w:rsidR="00151D10" w:rsidRDefault="00151D10" w:rsidP="00151D10">
      <w:pPr>
        <w:spacing w:line="360" w:lineRule="auto"/>
        <w:jc w:val="both"/>
        <w:rPr>
          <w:sz w:val="24"/>
          <w:szCs w:val="24"/>
        </w:rPr>
      </w:pPr>
      <w:r>
        <w:rPr>
          <w:sz w:val="24"/>
          <w:szCs w:val="24"/>
        </w:rPr>
        <w:t>En 1990, un article intitulé : ‘Evolution of Life Insurance Industry’</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w:t>
      </w:r>
      <w:r>
        <w:rPr>
          <w:sz w:val="24"/>
          <w:szCs w:val="24"/>
        </w:rPr>
        <w:lastRenderedPageBreak/>
        <w:t xml:space="preserve">non entre les facteurs. Toutefois, les facteurs étaient intéressants à analyser : nous comptons 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Les articles sont ‘The determinants of the demand of life insurance in an emerging economy – the case of China’</w:t>
      </w:r>
      <w:r>
        <w:rPr>
          <w:rStyle w:val="Appelnotedebasdep"/>
          <w:sz w:val="24"/>
          <w:szCs w:val="24"/>
        </w:rPr>
        <w:footnoteReference w:id="5"/>
      </w:r>
      <w:r w:rsidRPr="00EA0A00">
        <w:rPr>
          <w:sz w:val="24"/>
          <w:szCs w:val="24"/>
        </w:rPr>
        <w:t>, ‘Les determinants de la consummation d’assurance-vie: le cas de L’UEMOA</w:t>
      </w:r>
      <w:r>
        <w:rPr>
          <w:rStyle w:val="Appelnotedebasdep"/>
          <w:sz w:val="24"/>
          <w:szCs w:val="24"/>
        </w:rPr>
        <w:footnoteReference w:id="6"/>
      </w:r>
      <w:r w:rsidRPr="00EA0A00">
        <w:rPr>
          <w:sz w:val="24"/>
          <w:szCs w:val="24"/>
        </w:rPr>
        <w:t>, et finalement ‘Economic, Demographic, and Institutional Determinants of Life Insurance Consumption across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façon transversal pour l’un et temporel pour l’autre comment certains facteurs </w:t>
      </w:r>
      <w:r>
        <w:rPr>
          <w:sz w:val="24"/>
          <w:szCs w:val="24"/>
        </w:rPr>
        <w:lastRenderedPageBreak/>
        <w:t xml:space="preserve">affectent la demande à l’intérieur dans un pays ou zone géographique du monde qui est en 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Nous notons toutefois de grosses différences au niveau de la significativité entre certains articles. L’éducation, le ratio de jeunes dépendants, l’espérance de vie ne seraient pas significatifs tandis que l’inflation le serait, selon l’article de Thorsten, Beck et  Ian, Webb (2003).</w:t>
      </w:r>
      <w:r>
        <w:rPr>
          <w:rStyle w:val="Appelnotedebasdep"/>
          <w:sz w:val="24"/>
          <w:szCs w:val="24"/>
        </w:rPr>
        <w:footnoteReference w:id="8"/>
      </w:r>
      <w:r>
        <w:rPr>
          <w:sz w:val="24"/>
          <w:szCs w:val="24"/>
        </w:rPr>
        <w:t xml:space="preserve"> Toutefois, celui de </w:t>
      </w:r>
      <w:r w:rsidRPr="00036091">
        <w:rPr>
          <w:sz w:val="24"/>
          <w:szCs w:val="24"/>
        </w:rPr>
        <w:t>Dieng, Momar S., et Fall,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Tienya, Hwang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lastRenderedPageBreak/>
        <w:t>Pourquoi de telles différences ?</w:t>
      </w:r>
    </w:p>
    <w:p w14:paraId="099A62FE" w14:textId="7CD3AF8B" w:rsidR="00151D10" w:rsidRPr="00151D10" w:rsidRDefault="00151D10" w:rsidP="00151D10">
      <w:pPr>
        <w:spacing w:line="360" w:lineRule="auto"/>
        <w:jc w:val="both"/>
        <w:rPr>
          <w:sz w:val="24"/>
          <w:szCs w:val="24"/>
        </w:rPr>
      </w:pPr>
      <w:r>
        <w:rPr>
          <w:sz w:val="24"/>
          <w:szCs w:val="24"/>
        </w:rPr>
        <w:t>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Thorsten, Beck et  Ian, Webb (2003)</w:t>
      </w:r>
      <w:r>
        <w:rPr>
          <w:rStyle w:val="Appelnotedebasdep"/>
          <w:sz w:val="24"/>
          <w:szCs w:val="24"/>
        </w:rPr>
        <w:footnoteReference w:id="11"/>
      </w:r>
      <w:r>
        <w:rPr>
          <w:sz w:val="24"/>
          <w:szCs w:val="24"/>
        </w:rPr>
        <w:t xml:space="preserve">  base leur étude sur plusieurs pays du monde. Sur cela s’ajoute le fait que Tienya, Hwang (2002)</w:t>
      </w:r>
      <w:r>
        <w:rPr>
          <w:rStyle w:val="Appelnotedebasdep"/>
          <w:sz w:val="24"/>
          <w:szCs w:val="24"/>
        </w:rPr>
        <w:footnoteReference w:id="12"/>
      </w:r>
      <w:r>
        <w:rPr>
          <w:sz w:val="24"/>
          <w:szCs w:val="24"/>
        </w:rPr>
        <w:t xml:space="preserve"> et </w:t>
      </w:r>
      <w:r w:rsidRPr="00036091">
        <w:rPr>
          <w:sz w:val="24"/>
          <w:szCs w:val="24"/>
        </w:rPr>
        <w:t>Dieng, Momar S., et Fall, Mouhamadou (2015)</w:t>
      </w:r>
      <w:r>
        <w:rPr>
          <w:rStyle w:val="Appelnotedebasdep"/>
          <w:sz w:val="24"/>
          <w:szCs w:val="24"/>
        </w:rPr>
        <w:footnoteReference w:id="13"/>
      </w:r>
      <w:r>
        <w:rPr>
          <w:sz w:val="24"/>
          <w:szCs w:val="24"/>
        </w:rPr>
        <w:t xml:space="preserve"> font leurs études sur des pays en voie de développement tandis que Thorsten, Beck et  Ian,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Cela pourrait d’ailleurs expliquer pourquoi Tienya, Hwang (2002)</w:t>
      </w:r>
      <w:r>
        <w:rPr>
          <w:rStyle w:val="Appelnotedebasdep"/>
          <w:sz w:val="24"/>
          <w:szCs w:val="24"/>
        </w:rPr>
        <w:footnoteReference w:id="15"/>
      </w:r>
      <w:r>
        <w:rPr>
          <w:sz w:val="24"/>
          <w:szCs w:val="24"/>
        </w:rPr>
        <w:t xml:space="preserve"> et </w:t>
      </w:r>
      <w:r w:rsidRPr="00036091">
        <w:rPr>
          <w:sz w:val="24"/>
          <w:szCs w:val="24"/>
        </w:rPr>
        <w:t>Dieng, Momar S., et Fall,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8952C2">
      <w:pPr>
        <w:pStyle w:val="Titre"/>
        <w:rPr>
          <w:rFonts w:ascii="Calibri" w:hAnsi="Calibri" w:cs="Calibri"/>
        </w:rPr>
      </w:pPr>
      <w:r w:rsidRPr="008952C2">
        <w:lastRenderedPageBreak/>
        <w:t>II</w:t>
      </w:r>
      <w:r w:rsidR="00735AD1">
        <w:t>I</w:t>
      </w:r>
      <w:r w:rsidRPr="008952C2">
        <w:t xml:space="preserve">-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r>
        <w:rPr>
          <w:rFonts w:ascii="Calibri" w:hAnsi="Calibri" w:cs="Calibri"/>
          <w:sz w:val="24"/>
          <w:szCs w:val="24"/>
        </w:rPr>
        <w:t>WorldBank</w:t>
      </w:r>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(YOUNG_DEP)+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LIFE_EXP</w:t>
      </w:r>
      <w:r w:rsidR="00A26D2B" w:rsidRPr="00A06F37">
        <w:rPr>
          <w:rFonts w:ascii="Calibri" w:hAnsi="Calibri" w:cs="Calibri"/>
          <w:sz w:val="24"/>
          <w:szCs w:val="24"/>
        </w:rPr>
        <w:t>: Espérance de vie</w:t>
      </w:r>
    </w:p>
    <w:p w14:paraId="77B13845" w14:textId="7E8BAE8F"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 xml:space="preserve">Afin d’éviter tout risque d’endogéneité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 xml:space="preserve">chez les adultes est le </w:t>
      </w:r>
      <w:r w:rsidR="0075261D">
        <w:rPr>
          <w:sz w:val="24"/>
          <w:szCs w:val="24"/>
        </w:rPr>
        <w:t>«</w:t>
      </w:r>
      <w:r w:rsidR="00CA2C16">
        <w:rPr>
          <w:sz w:val="24"/>
          <w:szCs w:val="24"/>
        </w:rPr>
        <w:t>pourcentage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WorldBank</w:t>
      </w:r>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faisaint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3241D9">
      <w:pPr>
        <w:pStyle w:val="Titre"/>
      </w:pPr>
      <w:r>
        <w:lastRenderedPageBreak/>
        <w:t>I</w:t>
      </w:r>
      <w:r w:rsidR="00735AD1">
        <w:t>V</w:t>
      </w:r>
      <w:r>
        <w:t>-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a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boxplots, (Annexe </w:t>
      </w:r>
      <w:r w:rsidR="001A21FC">
        <w:rPr>
          <w:rFonts w:ascii="Calibri" w:hAnsi="Calibri" w:cs="Calibri"/>
          <w:bCs/>
          <w:iCs/>
          <w:sz w:val="24"/>
          <w:szCs w:val="24"/>
        </w:rPr>
        <w:t>1</w:t>
      </w:r>
      <w:r>
        <w:rPr>
          <w:rFonts w:ascii="Calibri" w:hAnsi="Calibri" w:cs="Calibri"/>
          <w:bCs/>
          <w:iCs/>
          <w:sz w:val="24"/>
          <w:szCs w:val="24"/>
        </w:rPr>
        <w:t>), où nous voyons de plus que certaines variables comme le taux d’inflation (INFLATION) ou encore les ratios de jeunes (YOUNG_DEP) et des personnes âgées (OLD_DEP) ont des données moins centrées au niveau de la moyenne, mais plutôt réparties autour de la quartile inférieure.</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qu’il a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le test de Grubbs</w:t>
      </w:r>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Extrem Studentized </w:t>
      </w:r>
      <w:r w:rsidR="008F2363">
        <w:rPr>
          <w:rFonts w:ascii="Calibri" w:hAnsi="Calibri" w:cs="Calibri"/>
          <w:sz w:val="24"/>
          <w:szCs w:val="24"/>
        </w:rPr>
        <w:lastRenderedPageBreak/>
        <w:t>Deviation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‘outliers’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066C0BF1" w14:textId="77777777" w:rsidR="00A0383A" w:rsidRDefault="00A0383A" w:rsidP="00DF1BDF">
      <w:pPr>
        <w:spacing w:line="360" w:lineRule="auto"/>
        <w:jc w:val="both"/>
        <w:rPr>
          <w:rFonts w:ascii="Calibri" w:hAnsi="Calibri" w:cs="Calibri"/>
          <w:sz w:val="24"/>
          <w:szCs w:val="24"/>
        </w:rPr>
      </w:pPr>
    </w:p>
    <w:p w14:paraId="7A12C156" w14:textId="77777777" w:rsidR="00A0383A" w:rsidRDefault="00A0383A" w:rsidP="00DF1BDF">
      <w:pPr>
        <w:spacing w:line="360" w:lineRule="auto"/>
        <w:jc w:val="both"/>
        <w:rPr>
          <w:rFonts w:ascii="Calibri" w:hAnsi="Calibri" w:cs="Calibri"/>
          <w:sz w:val="24"/>
          <w:szCs w:val="24"/>
        </w:rPr>
      </w:pPr>
    </w:p>
    <w:p w14:paraId="3586E721" w14:textId="19341851" w:rsidR="00575D2B" w:rsidRPr="00EE5013" w:rsidRDefault="00735AD1" w:rsidP="003F43DD">
      <w:pPr>
        <w:pStyle w:val="Titre"/>
      </w:pPr>
      <w:r>
        <w:t>V</w:t>
      </w:r>
      <w:r w:rsidR="00575D2B">
        <w:t>-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w:t>
      </w:r>
      <w:r w:rsidR="00342DA4">
        <w:rPr>
          <w:rFonts w:ascii="Calibri" w:hAnsi="Calibri" w:cs="Calibri"/>
          <w:sz w:val="24"/>
          <w:szCs w:val="24"/>
        </w:rPr>
        <w:lastRenderedPageBreak/>
        <w:t>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lastRenderedPageBreak/>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Effectivement, plus le pays est développé, plus son PIB, les revenus, le niveau de santé ainsi le pouvoir d’achat des habitants 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32161F56" w14:textId="77777777" w:rsidR="000F0359" w:rsidRDefault="000F0359" w:rsidP="000F0359">
      <w:pPr>
        <w:pStyle w:val="Titre2"/>
      </w:pPr>
      <w:r>
        <w:t xml:space="preserve">Classification ASCENDANTE HIERARCHIQUE </w:t>
      </w:r>
    </w:p>
    <w:p w14:paraId="15BCE902"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0B439F2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3C3CB80A"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006D2590" w14:textId="77777777" w:rsidR="000F0359" w:rsidRPr="0076613D" w:rsidRDefault="000F0359" w:rsidP="000F0359">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7646B530"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11A1F544" w14:textId="77777777" w:rsidR="000F0359" w:rsidRDefault="000F0359" w:rsidP="000F0359">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11A5C3B0" wp14:editId="1F50F2E2">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8">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7F828790" wp14:editId="4D9799BF">
            <wp:extent cx="2866953" cy="2405017"/>
            <wp:effectExtent l="0" t="0" r="381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9">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0D4AF644" w14:textId="0C5F960F" w:rsidR="000F0359" w:rsidRDefault="000F0359" w:rsidP="000F0359">
      <w:pPr>
        <w:jc w:val="center"/>
        <w:rPr>
          <w:rFonts w:ascii="Calibri" w:hAnsi="Calibri" w:cs="Calibri"/>
          <w:sz w:val="24"/>
          <w:szCs w:val="24"/>
        </w:rPr>
      </w:pPr>
      <w:r>
        <w:rPr>
          <w:rFonts w:ascii="Calibri" w:hAnsi="Calibri" w:cs="Calibri"/>
          <w:b/>
          <w:iCs/>
          <w:noProof/>
          <w:sz w:val="24"/>
          <w:szCs w:val="24"/>
        </w:rPr>
        <w:t>Figure 15: Arbre de classification</w:t>
      </w:r>
      <w:r>
        <w:rPr>
          <w:rFonts w:ascii="Calibri" w:hAnsi="Calibri" w:cs="Calibri"/>
          <w:b/>
          <w:iCs/>
          <w:noProof/>
          <w:sz w:val="24"/>
          <w:szCs w:val="24"/>
        </w:rPr>
        <w:t xml:space="preserve"> (à gauche)</w:t>
      </w:r>
      <w:r>
        <w:rPr>
          <w:rFonts w:ascii="Calibri" w:hAnsi="Calibri" w:cs="Calibri"/>
          <w:b/>
          <w:iCs/>
          <w:noProof/>
          <w:sz w:val="24"/>
          <w:szCs w:val="24"/>
        </w:rPr>
        <w:t xml:space="preserve"> et visualisation des 4 clusters</w:t>
      </w:r>
      <w:r>
        <w:rPr>
          <w:rFonts w:ascii="Calibri" w:hAnsi="Calibri" w:cs="Calibri"/>
          <w:b/>
          <w:iCs/>
          <w:noProof/>
          <w:sz w:val="24"/>
          <w:szCs w:val="24"/>
        </w:rPr>
        <w:t xml:space="preserve"> (à droite)</w:t>
      </w:r>
    </w:p>
    <w:p w14:paraId="0FD649E6" w14:textId="77777777" w:rsidR="000F0359" w:rsidRDefault="000F0359" w:rsidP="000F0359">
      <w:pPr>
        <w:spacing w:line="360" w:lineRule="auto"/>
        <w:jc w:val="center"/>
        <w:rPr>
          <w:rFonts w:ascii="Calibri" w:hAnsi="Calibri" w:cs="Calibri"/>
          <w:sz w:val="24"/>
          <w:szCs w:val="24"/>
        </w:rPr>
      </w:pPr>
    </w:p>
    <w:p w14:paraId="2ADDC310"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nous retrouvons un tableau avec les pays représentés pour chaque cluster.</w:t>
      </w:r>
    </w:p>
    <w:p w14:paraId="189113BB"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10AEBB6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1A577F43"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29B9ECF5" w14:textId="77777777" w:rsidR="000F0359" w:rsidRDefault="000F0359" w:rsidP="000F0359">
      <w:pPr>
        <w:spacing w:line="360" w:lineRule="auto"/>
        <w:jc w:val="both"/>
        <w:rPr>
          <w:rFonts w:ascii="Calibri" w:hAnsi="Calibri" w:cs="Calibri"/>
          <w:sz w:val="24"/>
          <w:szCs w:val="24"/>
        </w:rPr>
      </w:pPr>
    </w:p>
    <w:p w14:paraId="5CC42EA5"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6D3E6042"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France , Allemagne , Australie, Canada</w:t>
      </w:r>
    </w:p>
    <w:p w14:paraId="0CFFA889"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lastRenderedPageBreak/>
        <w:t xml:space="preserve">Ce sont les pays où il y a une plus grande densité d’assurance </w:t>
      </w:r>
    </w:p>
    <w:p w14:paraId="46F13A41"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2F54A914" w14:textId="77777777" w:rsidR="000F0359" w:rsidRDefault="000F0359" w:rsidP="000F0359">
      <w:pPr>
        <w:spacing w:line="360" w:lineRule="auto"/>
        <w:jc w:val="both"/>
        <w:rPr>
          <w:rFonts w:ascii="Calibri" w:hAnsi="Calibri" w:cs="Calibri"/>
          <w:sz w:val="24"/>
          <w:szCs w:val="24"/>
        </w:rPr>
      </w:pPr>
    </w:p>
    <w:p w14:paraId="5DE73975" w14:textId="77777777" w:rsidR="000F0359" w:rsidRDefault="000F0359" w:rsidP="000F0359">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4BF206BC" wp14:editId="1EF925AD">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20">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57272D58" wp14:editId="15037E76">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21">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0A942B81" w14:textId="77777777" w:rsidR="000F0359" w:rsidRDefault="000F0359" w:rsidP="000F0359">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715599D9"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un tableau avec les pays représentés par chaque cluster.</w:t>
      </w:r>
    </w:p>
    <w:p w14:paraId="7BFC1D8D"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1206B704"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26A7D39F"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0F6E32F6" w14:textId="77777777" w:rsidR="000F0359" w:rsidRDefault="000F0359" w:rsidP="000F0359">
      <w:pPr>
        <w:spacing w:line="360" w:lineRule="auto"/>
        <w:jc w:val="both"/>
        <w:rPr>
          <w:rFonts w:ascii="Calibri" w:hAnsi="Calibri" w:cs="Calibri"/>
          <w:sz w:val="24"/>
          <w:szCs w:val="24"/>
        </w:rPr>
      </w:pPr>
      <w:r>
        <w:rPr>
          <w:rFonts w:ascii="Calibri" w:hAnsi="Calibri" w:cs="Calibri"/>
          <w:sz w:val="24"/>
          <w:szCs w:val="24"/>
        </w:rPr>
        <w:lastRenderedPageBreak/>
        <w:t>Les habitants des pays représentés par ce troisième cluster pourraient être ceux investissant le plus pour leurs assurances.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‘step’ de R qui utilise l’AIC, le critère d’information d’Akaike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lastRenderedPageBreak/>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test de Cooks</w:t>
      </w:r>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‘Residual versus Fitted’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w:t>
      </w:r>
      <w:r w:rsidR="00524D8C">
        <w:rPr>
          <w:rFonts w:ascii="Calibri" w:hAnsi="Calibri" w:cs="Calibri"/>
          <w:sz w:val="24"/>
          <w:szCs w:val="24"/>
        </w:rPr>
        <w:lastRenderedPageBreak/>
        <w:t xml:space="preserve">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Nous poursuivons avec le test de Breusch-Pagan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xml:space="preserve">, nous </w:t>
      </w:r>
      <w:r w:rsidR="00D73E9B">
        <w:rPr>
          <w:rFonts w:ascii="Calibri" w:hAnsi="Calibri" w:cs="Calibri"/>
          <w:sz w:val="24"/>
          <w:szCs w:val="24"/>
        </w:rPr>
        <w:lastRenderedPageBreak/>
        <w:t>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9, les tests de RESET, Breusch-Pagan et Shapiro-Wilk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w:t>
      </w:r>
      <w:r>
        <w:rPr>
          <w:rFonts w:ascii="Calibri" w:hAnsi="Calibri" w:cs="Calibri"/>
          <w:sz w:val="24"/>
          <w:szCs w:val="24"/>
        </w:rPr>
        <w:lastRenderedPageBreak/>
        <w:t>tests, le ‘Weak Instrument’, le test de Sargan et le test de Wu-Hausman. Le test de Sargan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 xml:space="preserve">confirment que URBAN_POP et LIFE_EXP sont de bons instruments. En faisant le test de Wu-Haussman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r w:rsidRPr="00385F16">
        <w:rPr>
          <w:b/>
          <w:bCs/>
          <w:i/>
          <w:color w:val="FF0000"/>
        </w:rPr>
        <w:t>log</w:t>
      </w:r>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 xml:space="preserve">une valeur étant plus petite </w:t>
      </w:r>
      <w:r w:rsidR="00F859F2">
        <w:rPr>
          <w:rFonts w:ascii="Calibri" w:hAnsi="Calibri" w:cs="Calibri"/>
          <w:sz w:val="24"/>
          <w:szCs w:val="24"/>
        </w:rPr>
        <w:lastRenderedPageBreak/>
        <w:t>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3784A54C" w:rsidR="00DF1BDF" w:rsidRDefault="001864CD" w:rsidP="001864CD">
      <w:pPr>
        <w:pStyle w:val="Titre2"/>
      </w:pPr>
      <w:r>
        <w:t xml:space="preserve">REGRESSION </w:t>
      </w:r>
      <w:r w:rsidR="004E54A5">
        <w:t>sur</w:t>
      </w:r>
      <w:r>
        <w:t xml:space="preserve"> COMPOSANTES PRINCIPALES</w:t>
      </w:r>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43E96D85" w:rsidR="00624EB7" w:rsidRDefault="00B06E63" w:rsidP="00A104C9">
      <w:pPr>
        <w:spacing w:line="360" w:lineRule="auto"/>
        <w:jc w:val="both"/>
        <w:rPr>
          <w:rFonts w:ascii="Calibri" w:hAnsi="Calibri" w:cs="Calibri"/>
          <w:sz w:val="24"/>
          <w:szCs w:val="24"/>
        </w:rPr>
      </w:pPr>
      <w:r>
        <w:rPr>
          <w:rFonts w:ascii="Calibri" w:hAnsi="Calibri" w:cs="Calibri"/>
          <w:sz w:val="24"/>
          <w:szCs w:val="24"/>
        </w:rPr>
        <w:t>A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Pr>
          <w:rFonts w:ascii="Calibri" w:hAnsi="Calibri" w:cs="Calibri"/>
          <w:sz w:val="24"/>
          <w:szCs w:val="24"/>
        </w:rPr>
        <w:t xml:space="preserve"> tests nécessaires, nous aboutissons à la même </w:t>
      </w:r>
      <w:r>
        <w:rPr>
          <w:rFonts w:ascii="Calibri" w:hAnsi="Calibri" w:cs="Calibri"/>
          <w:sz w:val="24"/>
          <w:szCs w:val="24"/>
        </w:rPr>
        <w:lastRenderedPageBreak/>
        <w:t>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composantes). De plus,</w:t>
      </w:r>
      <w:r w:rsidR="008556CB">
        <w:rPr>
          <w:rFonts w:ascii="Calibri" w:hAnsi="Calibri" w:cs="Calibri"/>
          <w:sz w:val="24"/>
          <w:szCs w:val="24"/>
        </w:rPr>
        <w:t xml:space="preserve"> 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13D51FAF" w14:textId="0C94EDA2" w:rsidR="00016FF0" w:rsidRDefault="00624EB7" w:rsidP="00A104C9">
      <w:pPr>
        <w:spacing w:line="360" w:lineRule="auto"/>
        <w:jc w:val="both"/>
        <w:rPr>
          <w:rFonts w:ascii="Calibri" w:hAnsi="Calibri" w:cs="Calibri"/>
          <w:sz w:val="24"/>
          <w:szCs w:val="24"/>
        </w:rPr>
      </w:pPr>
      <w:commentRangeStart w:id="4"/>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w:t>
      </w:r>
      <w:commentRangeStart w:id="5"/>
      <w:r>
        <w:rPr>
          <w:rFonts w:ascii="Calibri" w:hAnsi="Calibri" w:cs="Calibri"/>
          <w:sz w:val="24"/>
          <w:szCs w:val="24"/>
        </w:rPr>
        <w:t>coude</w:t>
      </w:r>
      <w:commentRangeEnd w:id="5"/>
      <w:r w:rsidR="00000886">
        <w:rPr>
          <w:rStyle w:val="Marquedecommentaire"/>
        </w:rPr>
        <w:commentReference w:id="5"/>
      </w:r>
      <w:r>
        <w:rPr>
          <w:rFonts w:ascii="Calibri" w:hAnsi="Calibri" w:cs="Calibri"/>
          <w:sz w:val="24"/>
          <w:szCs w:val="24"/>
        </w:rPr>
        <w:t xml:space="preserve">. </w:t>
      </w:r>
      <w:commentRangeEnd w:id="4"/>
      <w:r w:rsidR="00B34745">
        <w:rPr>
          <w:rStyle w:val="Marquedecommentaire"/>
        </w:rPr>
        <w:commentReference w:id="4"/>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6"/>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w:t>
      </w:r>
      <w:r w:rsidR="003767D3">
        <w:rPr>
          <w:rFonts w:ascii="Calibri" w:hAnsi="Calibri" w:cs="Calibri"/>
          <w:sz w:val="24"/>
          <w:szCs w:val="24"/>
        </w:rPr>
        <w:lastRenderedPageBreak/>
        <w:t xml:space="preserve">(plan 1-2) durant lequel nous avons trouvé que les deux premières composantes principales sont le niveau de développement d’un pays et le développement des villes. </w:t>
      </w:r>
      <w:commentRangeEnd w:id="6"/>
      <w:r w:rsidR="00E235FB">
        <w:rPr>
          <w:rStyle w:val="Marquedecommentaire"/>
        </w:rPr>
        <w:commentReference w:id="6"/>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3"/>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1DBD2B1" w:rsidR="00886614" w:rsidRPr="00A104C9" w:rsidRDefault="00624EB7" w:rsidP="00A104C9">
      <w:pPr>
        <w:spacing w:before="240" w:after="240" w:line="360" w:lineRule="auto"/>
        <w:jc w:val="both"/>
        <w:rPr>
          <w:rFonts w:ascii="Calibri" w:hAnsi="Calibri" w:cs="Calibri"/>
          <w:sz w:val="24"/>
          <w:szCs w:val="24"/>
        </w:rPr>
      </w:pPr>
      <w:commentRangeStart w:id="7"/>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 qui, selon Figure </w:t>
      </w:r>
      <w:r w:rsidR="00886614">
        <w:rPr>
          <w:rFonts w:ascii="Calibri" w:hAnsi="Calibri" w:cs="Calibri"/>
          <w:sz w:val="24"/>
          <w:szCs w:val="24"/>
        </w:rPr>
        <w:t>14</w:t>
      </w:r>
      <w:r>
        <w:rPr>
          <w:rFonts w:ascii="Calibri" w:hAnsi="Calibri" w:cs="Calibri"/>
          <w:sz w:val="24"/>
          <w:szCs w:val="24"/>
        </w:rPr>
        <w:t xml:space="preserve">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commentRangeEnd w:id="7"/>
      <w:r w:rsidR="005047F4">
        <w:rPr>
          <w:rStyle w:val="Marquedecommentaire"/>
        </w:rPr>
        <w:commentReference w:id="7"/>
      </w:r>
    </w:p>
    <w:p w14:paraId="5F8DEA46" w14:textId="59B561D9"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14</w:t>
      </w:r>
      <w:r>
        <w:rPr>
          <w:rFonts w:ascii="Calibri" w:hAnsi="Calibri" w:cs="Calibri"/>
          <w:b/>
          <w:iCs/>
          <w:noProof/>
          <w:sz w:val="24"/>
          <w:szCs w:val="24"/>
        </w:rPr>
        <w:t>: ACP sur le plan 1-3</w:t>
      </w:r>
    </w:p>
    <w:p w14:paraId="319BC220" w14:textId="4FB33C7F" w:rsidR="00DF1BDF" w:rsidRDefault="00624EB7" w:rsidP="00624EB7">
      <w:pPr>
        <w:jc w:val="center"/>
        <w:rPr>
          <w:rFonts w:ascii="Calibri" w:hAnsi="Calibri" w:cs="Calibri"/>
          <w:sz w:val="24"/>
          <w:szCs w:val="24"/>
        </w:rPr>
      </w:pPr>
      <w:r w:rsidRPr="003661E9">
        <w:rPr>
          <w:noProof/>
        </w:rPr>
        <w:lastRenderedPageBreak/>
        <w:drawing>
          <wp:inline distT="0" distB="0" distL="0" distR="0" wp14:anchorId="4FEE698F" wp14:editId="5740A9AD">
            <wp:extent cx="3034824" cy="2837329"/>
            <wp:effectExtent l="0" t="0" r="635" b="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4680" cy="2977433"/>
                    </a:xfrm>
                    <a:prstGeom prst="rect">
                      <a:avLst/>
                    </a:prstGeom>
                  </pic:spPr>
                </pic:pic>
              </a:graphicData>
            </a:graphic>
          </wp:inline>
        </w:drawing>
      </w:r>
    </w:p>
    <w:p w14:paraId="5A6FD5CC" w14:textId="77777777" w:rsidR="00624EB7" w:rsidRPr="00624EB7" w:rsidRDefault="00624EB7" w:rsidP="00624EB7">
      <w:pPr>
        <w:spacing w:before="240" w:after="240" w:line="360" w:lineRule="auto"/>
        <w:jc w:val="center"/>
        <w:rPr>
          <w:noProof/>
        </w:rPr>
      </w:pPr>
      <w:r>
        <w:rPr>
          <w:noProof/>
        </w:rPr>
        <w:t>Source : Sortie R</w:t>
      </w:r>
    </w:p>
    <w:p w14:paraId="2A24A237" w14:textId="69431A90" w:rsidR="00624EB7" w:rsidRDefault="00C93FBE" w:rsidP="001F004B">
      <w:pPr>
        <w:spacing w:line="360" w:lineRule="auto"/>
        <w:jc w:val="both"/>
        <w:rPr>
          <w:rFonts w:ascii="Calibri" w:hAnsi="Calibri" w:cs="Calibri"/>
          <w:sz w:val="24"/>
          <w:szCs w:val="24"/>
        </w:rPr>
      </w:pPr>
      <w:commentRangeStart w:id="8"/>
      <w:r>
        <w:rPr>
          <w:rFonts w:ascii="Calibri" w:hAnsi="Calibri" w:cs="Calibri"/>
          <w:sz w:val="24"/>
          <w:szCs w:val="24"/>
        </w:rPr>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xml:space="preserve">. </w:t>
      </w:r>
      <w:commentRangeEnd w:id="8"/>
      <w:r w:rsidR="007A4034">
        <w:rPr>
          <w:rStyle w:val="Marquedecommentaire"/>
        </w:rPr>
        <w:commentReference w:id="8"/>
      </w:r>
      <w:r>
        <w:rPr>
          <w:rFonts w:ascii="Calibri" w:hAnsi="Calibri" w:cs="Calibri"/>
          <w:sz w:val="24"/>
          <w:szCs w:val="24"/>
        </w:rPr>
        <w:t>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w:t>
      </w:r>
      <w:r w:rsidR="003D322E">
        <w:rPr>
          <w:rFonts w:ascii="Calibri" w:hAnsi="Calibri" w:cs="Calibri"/>
          <w:sz w:val="24"/>
          <w:szCs w:val="24"/>
        </w:rPr>
        <w:t>e</w:t>
      </w:r>
      <w:r>
        <w:rPr>
          <w:rFonts w:ascii="Calibri" w:hAnsi="Calibri" w:cs="Calibri"/>
          <w:sz w:val="24"/>
          <w:szCs w:val="24"/>
        </w:rPr>
        <w:t xml:space="preserve"> santé,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w:t>
      </w:r>
      <w:r w:rsidR="00E83B94">
        <w:rPr>
          <w:rFonts w:ascii="Calibri" w:hAnsi="Calibri" w:cs="Calibri"/>
          <w:sz w:val="24"/>
          <w:szCs w:val="24"/>
        </w:rPr>
        <w:t>s</w:t>
      </w:r>
      <w:r w:rsidR="001F004B">
        <w:rPr>
          <w:rFonts w:ascii="Calibri" w:hAnsi="Calibri" w:cs="Calibri"/>
          <w:sz w:val="24"/>
          <w:szCs w:val="24"/>
        </w:rPr>
        <w:t xml:space="preserve"> ont d’ailleurs plus de problèmes de santé.</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9"/>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9"/>
      <w:r w:rsidR="002E67F8">
        <w:rPr>
          <w:rStyle w:val="Marquedecommentaire"/>
        </w:rPr>
        <w:commentReference w:id="9"/>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5"/>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lastRenderedPageBreak/>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04528C53"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composantes</w:t>
      </w:r>
    </w:p>
    <w:p w14:paraId="4393C7CB" w14:textId="70FBC4D3" w:rsidR="0021553A" w:rsidRPr="00B25A1D" w:rsidRDefault="0021553A" w:rsidP="00F13A96">
      <w:pPr>
        <w:spacing w:line="360" w:lineRule="auto"/>
        <w:ind w:left="708"/>
        <w:jc w:val="both"/>
        <w:rPr>
          <w:rFonts w:ascii="Calibri" w:hAnsi="Calibri" w:cs="Calibri"/>
          <w:sz w:val="24"/>
          <w:szCs w:val="24"/>
        </w:rPr>
      </w:pPr>
      <w:r>
        <w:rPr>
          <w:rFonts w:ascii="Calibri" w:hAnsi="Calibri" w:cs="Calibri"/>
          <w:sz w:val="24"/>
          <w:szCs w:val="24"/>
        </w:rPr>
        <w:t xml:space="preserve"> </w:t>
      </w:r>
      <w:r w:rsidR="0041390B">
        <w:rPr>
          <w:rFonts w:ascii="Calibri" w:hAnsi="Calibri" w:cs="Calibri"/>
          <w:noProof/>
          <w:sz w:val="24"/>
          <w:szCs w:val="24"/>
        </w:rPr>
        <w:drawing>
          <wp:inline distT="0" distB="0" distL="0" distR="0" wp14:anchorId="05BAC9A4" wp14:editId="4DC43D53">
            <wp:extent cx="4559300" cy="35445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dictions_pcr.png"/>
                    <pic:cNvPicPr/>
                  </pic:nvPicPr>
                  <pic:blipFill rotWithShape="1">
                    <a:blip r:embed="rId36"/>
                    <a:srcRect t="5543" r="6186" b="3619"/>
                    <a:stretch/>
                  </pic:blipFill>
                  <pic:spPr bwMode="auto">
                    <a:xfrm>
                      <a:off x="0" y="0"/>
                      <a:ext cx="4583348" cy="3563266"/>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6515F870" w:rsidR="003E42FC" w:rsidRDefault="003E42FC" w:rsidP="003E42FC">
      <w:pPr>
        <w:pStyle w:val="Titre2"/>
        <w:rPr>
          <w:lang w:val="en-US"/>
        </w:rPr>
      </w:pPr>
      <w:r w:rsidRPr="003E42FC">
        <w:rPr>
          <w:lang w:val="en-US"/>
        </w:rPr>
        <w:t>methode ‘PARTIAL LEAST SQUARES’ (PLS)</w:t>
      </w:r>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 xml:space="preserve">En construisant des composantes orthogonales entre elles, elle permet de résoudre les problèmes éventuels de </w:t>
      </w:r>
      <w:r w:rsidR="0070069A">
        <w:rPr>
          <w:rFonts w:ascii="Calibri" w:hAnsi="Calibri" w:cs="Calibri"/>
          <w:sz w:val="24"/>
          <w:szCs w:val="24"/>
        </w:rPr>
        <w:lastRenderedPageBreak/>
        <w:t>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10"/>
      <w:r w:rsidR="004C6888">
        <w:rPr>
          <w:rFonts w:ascii="Calibri" w:hAnsi="Calibri" w:cs="Calibri"/>
          <w:sz w:val="24"/>
          <w:szCs w:val="24"/>
        </w:rPr>
        <w:t>La PCR ne peut pas être appliquée pour plus d’une variable à expliquer</w:t>
      </w:r>
      <w:commentRangeEnd w:id="10"/>
      <w:r w:rsidR="00143020">
        <w:rPr>
          <w:rStyle w:val="Marquedecommentaire"/>
        </w:rPr>
        <w:commentReference w:id="10"/>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 xml:space="preserve">Il apparaît donc qu’il nous faut un critère de sélection plus robuste et plus pertinent. Nous testons alors deux stratégies implémentées dans la fonction « selectNcomp » de la librairie pls de R. La première stratégie est basée sur le critère « one-sigma heuristic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backwards » pour réduire progressivement le </w:t>
      </w:r>
      <w:r>
        <w:rPr>
          <w:rFonts w:ascii="Calibri" w:hAnsi="Calibri" w:cs="Calibri"/>
          <w:sz w:val="24"/>
          <w:szCs w:val="24"/>
        </w:rPr>
        <w:lastRenderedPageBreak/>
        <w:t>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8"/>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34F612DE"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loadings » desdites variables. Les loadings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de l’axe. Ainsi, les loadings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Nous considérons comme bien représentées sur un axe les variables dont les loadings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39">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0">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 loadings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r w:rsidR="00DA1DCD">
        <w:rPr>
          <w:rFonts w:ascii="Calibri" w:hAnsi="Calibri" w:cs="Calibri"/>
          <w:sz w:val="24"/>
          <w:szCs w:val="24"/>
        </w:rPr>
        <w:t>et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Y loadings</w:t>
      </w:r>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2"/>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deliste"/>
        <w:jc w:val="both"/>
        <w:rPr>
          <w:rFonts w:ascii="Calibri" w:hAnsi="Calibri" w:cs="Calibri"/>
          <w:sz w:val="24"/>
          <w:szCs w:val="24"/>
        </w:rPr>
      </w:pPr>
    </w:p>
    <w:p w14:paraId="00833F71" w14:textId="27C31017" w:rsidR="003633C8" w:rsidRPr="00C935A5"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 graphiques de prédictions (11 comp vs 1 comp)</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5"/>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3DD1B71D" w14:textId="77777777" w:rsidR="003E42FC" w:rsidRPr="008D0D98" w:rsidRDefault="003E42FC" w:rsidP="003E42FC"/>
    <w:p w14:paraId="4C251B65" w14:textId="4698CED4" w:rsidR="0044273F" w:rsidRDefault="0044273F" w:rsidP="001F004B">
      <w:pPr>
        <w:spacing w:line="360" w:lineRule="auto"/>
        <w:jc w:val="both"/>
        <w:rPr>
          <w:rFonts w:ascii="Calibri" w:hAnsi="Calibri" w:cs="Calibri"/>
          <w:sz w:val="24"/>
          <w:szCs w:val="24"/>
        </w:rPr>
      </w:pPr>
    </w:p>
    <w:p w14:paraId="08A1F5D9" w14:textId="6FD368F9" w:rsidR="0044273F" w:rsidRDefault="0044273F" w:rsidP="0044273F">
      <w:pPr>
        <w:pStyle w:val="Titre1"/>
      </w:pPr>
      <w:r>
        <w:t>comparaison entre les modèles</w:t>
      </w:r>
      <w:r w:rsidR="00F859F2">
        <w:t xml:space="preserve"> et choix du modele</w:t>
      </w:r>
    </w:p>
    <w:p w14:paraId="7D807653" w14:textId="444859BE" w:rsidR="0044273F" w:rsidRDefault="0044273F" w:rsidP="001F004B">
      <w:pPr>
        <w:spacing w:line="360" w:lineRule="auto"/>
        <w:jc w:val="both"/>
        <w:rPr>
          <w:rFonts w:ascii="Calibri" w:hAnsi="Calibri" w:cs="Calibri"/>
          <w:sz w:val="24"/>
          <w:szCs w:val="24"/>
        </w:rPr>
      </w:pPr>
    </w:p>
    <w:p w14:paraId="37FE1F56" w14:textId="22CA73DD" w:rsidR="0044273F" w:rsidRPr="00EE5013" w:rsidRDefault="00735AD1" w:rsidP="0044273F">
      <w:pPr>
        <w:pStyle w:val="Titre"/>
      </w:pPr>
      <w:r>
        <w:t>VI</w:t>
      </w:r>
      <w:r w:rsidR="0044273F">
        <w:t xml:space="preserve">- </w:t>
      </w:r>
      <w:commentRangeStart w:id="11"/>
      <w:r w:rsidR="0044273F">
        <w:t>CONCLUSION</w:t>
      </w:r>
      <w:commentRangeEnd w:id="11"/>
      <w:r w:rsidR="00CC3030">
        <w:rPr>
          <w:rStyle w:val="Marquedecommentaire"/>
          <w:caps w:val="0"/>
          <w:color w:val="auto"/>
          <w:spacing w:val="0"/>
          <w:kern w:val="0"/>
        </w:rPr>
        <w:commentReference w:id="11"/>
      </w:r>
    </w:p>
    <w:p w14:paraId="26A7B726" w14:textId="41F6278F" w:rsidR="0044273F" w:rsidRDefault="0044273F" w:rsidP="001F004B">
      <w:pPr>
        <w:spacing w:line="360" w:lineRule="auto"/>
        <w:jc w:val="both"/>
        <w:rPr>
          <w:rFonts w:ascii="Calibri" w:hAnsi="Calibri" w:cs="Calibri"/>
          <w:sz w:val="24"/>
          <w:szCs w:val="24"/>
        </w:rPr>
      </w:pPr>
    </w:p>
    <w:p w14:paraId="1B58726B" w14:textId="2B2A21B4" w:rsidR="00735AD1" w:rsidRDefault="00735AD1" w:rsidP="001F004B">
      <w:pPr>
        <w:spacing w:line="360" w:lineRule="auto"/>
        <w:jc w:val="both"/>
        <w:rPr>
          <w:rFonts w:ascii="Calibri" w:hAnsi="Calibri" w:cs="Calibri"/>
          <w:sz w:val="24"/>
          <w:szCs w:val="24"/>
        </w:rPr>
      </w:pPr>
    </w:p>
    <w:p w14:paraId="0A5BBE07" w14:textId="7C95B887" w:rsidR="00735AD1" w:rsidRDefault="00735AD1" w:rsidP="001F004B">
      <w:pPr>
        <w:spacing w:line="360" w:lineRule="auto"/>
        <w:jc w:val="both"/>
        <w:rPr>
          <w:rFonts w:ascii="Calibri" w:hAnsi="Calibri" w:cs="Calibri"/>
          <w:sz w:val="24"/>
          <w:szCs w:val="24"/>
        </w:rPr>
      </w:pPr>
    </w:p>
    <w:p w14:paraId="16D516C5" w14:textId="07D743A2" w:rsidR="00735AD1" w:rsidRDefault="00735AD1">
      <w:pPr>
        <w:rPr>
          <w:rFonts w:ascii="Calibri" w:hAnsi="Calibri" w:cs="Calibri"/>
          <w:sz w:val="24"/>
          <w:szCs w:val="24"/>
        </w:rPr>
      </w:pPr>
      <w:r>
        <w:rPr>
          <w:rFonts w:ascii="Calibri" w:hAnsi="Calibri" w:cs="Calibri"/>
          <w:sz w:val="24"/>
          <w:szCs w:val="24"/>
        </w:rPr>
        <w:br w:type="page"/>
      </w:r>
    </w:p>
    <w:p w14:paraId="07DC6125" w14:textId="717B547A" w:rsidR="00735AD1" w:rsidRDefault="00735AD1" w:rsidP="00735AD1">
      <w:pPr>
        <w:pStyle w:val="Titre"/>
      </w:pPr>
      <w:r>
        <w:lastRenderedPageBreak/>
        <w:t>VIi- bibliographie</w:t>
      </w:r>
    </w:p>
    <w:p w14:paraId="2364D2BE" w14:textId="6DF597C4" w:rsidR="00735AD1" w:rsidRDefault="00735AD1">
      <w:r>
        <w:br w:type="page"/>
      </w:r>
    </w:p>
    <w:p w14:paraId="0FAABEFB" w14:textId="313D2319" w:rsidR="00735AD1" w:rsidRDefault="00735AD1" w:rsidP="00735AD1">
      <w:pPr>
        <w:pStyle w:val="Titre"/>
      </w:pPr>
      <w:r>
        <w:lastRenderedPageBreak/>
        <w:t>VIii- ANNEXE</w:t>
      </w:r>
    </w:p>
    <w:p w14:paraId="4B32555C" w14:textId="77777777" w:rsidR="00735AD1" w:rsidRDefault="00735AD1" w:rsidP="00735AD1">
      <w:pPr>
        <w:pStyle w:val="Par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deliste"/>
        <w:rPr>
          <w:lang w:val="fr-CA"/>
        </w:rPr>
      </w:pPr>
    </w:p>
    <w:p w14:paraId="2BAA0AFD" w14:textId="77777777" w:rsidR="00735AD1" w:rsidRDefault="00735AD1" w:rsidP="00735AD1">
      <w:pPr>
        <w:pStyle w:val="Par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deliste"/>
        <w:rPr>
          <w:lang w:val="fr-CA"/>
        </w:rPr>
      </w:pPr>
    </w:p>
    <w:p w14:paraId="612CC799" w14:textId="4FA7C959" w:rsidR="00735AD1" w:rsidRDefault="00735AD1" w:rsidP="00735AD1">
      <w:pPr>
        <w:pStyle w:val="Par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la variable expliquée et certaines variables explicatives) :</w:t>
      </w:r>
    </w:p>
    <w:p w14:paraId="1BE47D75" w14:textId="77777777" w:rsidR="00735AD1" w:rsidRDefault="00735AD1" w:rsidP="00735AD1">
      <w:pPr>
        <w:ind w:left="360"/>
        <w:rPr>
          <w:noProof/>
        </w:rPr>
      </w:pPr>
      <w:r w:rsidRPr="009D1975">
        <w:rPr>
          <w:noProof/>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deliste"/>
        <w:rPr>
          <w:lang w:val="fr-CA"/>
        </w:rPr>
      </w:pPr>
    </w:p>
    <w:p w14:paraId="68DB2EDC" w14:textId="77777777" w:rsidR="00735AD1" w:rsidRDefault="00735AD1" w:rsidP="00735AD1">
      <w:pPr>
        <w:ind w:left="360"/>
        <w:rPr>
          <w:noProof/>
        </w:rPr>
      </w:pPr>
      <w:r w:rsidRPr="008A16E1">
        <w:rPr>
          <w:noProof/>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deliste"/>
        <w:rPr>
          <w:lang w:val="fr-CA"/>
        </w:rPr>
      </w:pPr>
    </w:p>
    <w:p w14:paraId="3F11E95F" w14:textId="77777777" w:rsidR="00735AD1" w:rsidRDefault="00735AD1" w:rsidP="00735AD1">
      <w:pPr>
        <w:pStyle w:val="Pardeliste"/>
        <w:rPr>
          <w:lang w:val="fr-CA"/>
        </w:rPr>
      </w:pPr>
    </w:p>
    <w:p w14:paraId="2D32C6AB" w14:textId="77777777" w:rsidR="00735AD1" w:rsidRDefault="00735AD1" w:rsidP="00735AD1">
      <w:pPr>
        <w:pStyle w:val="Pardeliste"/>
        <w:rPr>
          <w:lang w:val="fr-CA"/>
        </w:rPr>
      </w:pPr>
    </w:p>
    <w:p w14:paraId="0FFC49D8" w14:textId="72E4322C" w:rsidR="00735AD1" w:rsidRDefault="00735AD1" w:rsidP="00735AD1">
      <w:pPr>
        <w:pStyle w:val="Pardeliste"/>
        <w:rPr>
          <w:lang w:val="fr-CA"/>
        </w:rPr>
      </w:pPr>
    </w:p>
    <w:p w14:paraId="3765AFD5" w14:textId="53173CF1" w:rsidR="00735AD1" w:rsidRDefault="00735AD1" w:rsidP="00735AD1">
      <w:pPr>
        <w:pStyle w:val="Pardeliste"/>
        <w:rPr>
          <w:lang w:val="fr-CA"/>
        </w:rPr>
      </w:pPr>
    </w:p>
    <w:p w14:paraId="3D89DD17" w14:textId="6CF398A4" w:rsidR="00735AD1" w:rsidRDefault="00735AD1" w:rsidP="00735AD1">
      <w:pPr>
        <w:pStyle w:val="Pardeliste"/>
        <w:rPr>
          <w:lang w:val="fr-CA"/>
        </w:rPr>
      </w:pPr>
    </w:p>
    <w:p w14:paraId="5833AAE3" w14:textId="512FA21A" w:rsidR="00735AD1" w:rsidRDefault="00735AD1" w:rsidP="00735AD1">
      <w:pPr>
        <w:pStyle w:val="Pardeliste"/>
        <w:rPr>
          <w:lang w:val="fr-CA"/>
        </w:rPr>
      </w:pPr>
    </w:p>
    <w:p w14:paraId="2B6A9EE8" w14:textId="77777777" w:rsidR="00735AD1" w:rsidRDefault="00735AD1" w:rsidP="00735AD1">
      <w:pPr>
        <w:pStyle w:val="Pardeliste"/>
        <w:rPr>
          <w:lang w:val="fr-CA"/>
        </w:rPr>
      </w:pPr>
    </w:p>
    <w:p w14:paraId="5CA98E07" w14:textId="28FDDF6D" w:rsidR="00735AD1" w:rsidRDefault="00735AD1" w:rsidP="00735AD1">
      <w:pPr>
        <w:pStyle w:val="Pardeliste"/>
        <w:numPr>
          <w:ilvl w:val="0"/>
          <w:numId w:val="31"/>
        </w:numPr>
        <w:spacing w:before="0" w:after="0" w:line="240" w:lineRule="auto"/>
        <w:rPr>
          <w:lang w:val="fr-CA"/>
        </w:rPr>
      </w:pPr>
      <w:r>
        <w:rPr>
          <w:lang w:val="fr-CA"/>
        </w:rPr>
        <w:lastRenderedPageBreak/>
        <w:t>Graphique affichant le nombre de composantes principales. On atteint un minimum est atteint a 3 composantes.</w:t>
      </w:r>
    </w:p>
    <w:p w14:paraId="2E712759" w14:textId="77777777" w:rsidR="003923C0" w:rsidRDefault="003923C0" w:rsidP="003923C0">
      <w:pPr>
        <w:pStyle w:val="Pardeliste"/>
        <w:spacing w:before="0" w:after="0" w:line="240" w:lineRule="auto"/>
        <w:rPr>
          <w:lang w:val="fr-CA"/>
        </w:rPr>
      </w:pPr>
    </w:p>
    <w:p w14:paraId="6FBA82F9" w14:textId="6A4EA599" w:rsidR="00735AD1" w:rsidRDefault="002C155B" w:rsidP="003923C0">
      <w:pPr>
        <w:pStyle w:val="Pardeliste"/>
        <w:ind w:left="1416"/>
        <w:jc w:val="both"/>
        <w:rPr>
          <w:lang w:val="fr-CA"/>
        </w:rPr>
      </w:pPr>
      <w:r>
        <w:rPr>
          <w:noProof/>
        </w:rPr>
        <w:drawing>
          <wp:inline distT="0" distB="0" distL="0" distR="0" wp14:anchorId="6633CB3A" wp14:editId="18EF2227">
            <wp:extent cx="4470400" cy="3359150"/>
            <wp:effectExtent l="0" t="0" r="6350"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7"/>
                    <a:srcRect t="5696" r="6015" b="4234"/>
                    <a:stretch/>
                  </pic:blipFill>
                  <pic:spPr bwMode="auto">
                    <a:xfrm>
                      <a:off x="0" y="0"/>
                      <a:ext cx="4471646" cy="33600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deliste"/>
        <w:rPr>
          <w:lang w:val="fr-CA"/>
        </w:rPr>
      </w:pPr>
    </w:p>
    <w:p w14:paraId="5C66F659" w14:textId="77777777" w:rsidR="00735AD1" w:rsidRDefault="00735AD1" w:rsidP="00735AD1">
      <w:pPr>
        <w:pStyle w:val="Pardeliste"/>
        <w:rPr>
          <w:lang w:val="fr-CA"/>
        </w:rPr>
      </w:pPr>
    </w:p>
    <w:p w14:paraId="75058B19" w14:textId="2213F0A1" w:rsidR="00735AD1" w:rsidRDefault="00735AD1" w:rsidP="00735AD1">
      <w:pPr>
        <w:pStyle w:val="Pardeliste"/>
        <w:numPr>
          <w:ilvl w:val="0"/>
          <w:numId w:val="31"/>
        </w:numPr>
        <w:spacing w:before="0" w:after="0" w:line="240" w:lineRule="auto"/>
        <w:rPr>
          <w:lang w:val="fr-CA"/>
        </w:rPr>
      </w:pPr>
      <w:r>
        <w:rPr>
          <w:lang w:val="fr-CA"/>
        </w:rPr>
        <w:t>Distance de Cooks</w:t>
      </w:r>
    </w:p>
    <w:p w14:paraId="70B624F5" w14:textId="77777777" w:rsidR="00735AD1" w:rsidRDefault="00735AD1" w:rsidP="00735AD1">
      <w:pPr>
        <w:pStyle w:val="Par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deliste"/>
        <w:rPr>
          <w:lang w:val="fr-CA"/>
        </w:rPr>
      </w:pPr>
    </w:p>
    <w:p w14:paraId="2D696A18" w14:textId="77777777" w:rsidR="00735AD1" w:rsidRDefault="00735AD1" w:rsidP="00735AD1">
      <w:pPr>
        <w:pStyle w:val="Pardeliste"/>
        <w:rPr>
          <w:lang w:val="fr-CA"/>
        </w:rPr>
      </w:pPr>
    </w:p>
    <w:p w14:paraId="4017E041" w14:textId="77777777" w:rsidR="00735AD1" w:rsidRDefault="00735AD1" w:rsidP="00735AD1">
      <w:pPr>
        <w:pStyle w:val="Pardeliste"/>
        <w:rPr>
          <w:lang w:val="fr-CA"/>
        </w:rPr>
      </w:pPr>
    </w:p>
    <w:p w14:paraId="6F02E6AA" w14:textId="77777777" w:rsidR="00735AD1" w:rsidRDefault="00735AD1" w:rsidP="00735AD1">
      <w:pPr>
        <w:pStyle w:val="Pardeliste"/>
        <w:rPr>
          <w:lang w:val="fr-CA"/>
        </w:rPr>
      </w:pPr>
    </w:p>
    <w:p w14:paraId="5D580BC8" w14:textId="77777777" w:rsidR="00735AD1" w:rsidRDefault="00735AD1" w:rsidP="00735AD1">
      <w:pPr>
        <w:pStyle w:val="Pardeliste"/>
        <w:rPr>
          <w:lang w:val="fr-CA"/>
        </w:rPr>
      </w:pPr>
    </w:p>
    <w:p w14:paraId="15C8D399" w14:textId="77777777" w:rsidR="00735AD1" w:rsidRDefault="00735AD1" w:rsidP="00735AD1">
      <w:pPr>
        <w:pStyle w:val="Pardeliste"/>
        <w:rPr>
          <w:lang w:val="fr-CA"/>
        </w:rPr>
      </w:pPr>
    </w:p>
    <w:p w14:paraId="546A4330" w14:textId="77777777" w:rsidR="00735AD1" w:rsidRDefault="00735AD1" w:rsidP="00735AD1">
      <w:pPr>
        <w:pStyle w:val="Pardeliste"/>
        <w:rPr>
          <w:lang w:val="fr-CA"/>
        </w:rPr>
      </w:pPr>
    </w:p>
    <w:p w14:paraId="0BA06188" w14:textId="77777777" w:rsidR="00735AD1" w:rsidRDefault="00735AD1" w:rsidP="00735AD1">
      <w:pPr>
        <w:pStyle w:val="Pardeliste"/>
        <w:rPr>
          <w:lang w:val="fr-CA"/>
        </w:rPr>
      </w:pPr>
    </w:p>
    <w:p w14:paraId="22CA50C3" w14:textId="77777777" w:rsidR="00735AD1" w:rsidRDefault="00735AD1" w:rsidP="00735AD1">
      <w:pPr>
        <w:pStyle w:val="Par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deliste"/>
        <w:rPr>
          <w:lang w:val="fr-CA"/>
        </w:rPr>
      </w:pPr>
    </w:p>
    <w:p w14:paraId="10A07CF6" w14:textId="77777777" w:rsidR="00735AD1" w:rsidRDefault="00735AD1" w:rsidP="00735AD1">
      <w:pPr>
        <w:pStyle w:val="Pardeliste"/>
        <w:jc w:val="center"/>
        <w:rPr>
          <w:lang w:val="fr-CA"/>
        </w:rPr>
      </w:pPr>
      <w:r w:rsidRPr="001D57E8">
        <w:rPr>
          <w:noProof/>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deliste"/>
        <w:rPr>
          <w:lang w:val="fr-CA"/>
        </w:rPr>
      </w:pPr>
    </w:p>
    <w:p w14:paraId="684677AB" w14:textId="77777777" w:rsidR="00735AD1" w:rsidRDefault="00735AD1" w:rsidP="00735AD1">
      <w:pPr>
        <w:pStyle w:val="Pardeliste"/>
        <w:rPr>
          <w:lang w:val="fr-CA"/>
        </w:rPr>
      </w:pPr>
    </w:p>
    <w:p w14:paraId="7269CFA2" w14:textId="77777777" w:rsidR="00735AD1" w:rsidRDefault="00735AD1" w:rsidP="00735AD1">
      <w:pPr>
        <w:pStyle w:val="Par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deliste"/>
        <w:numPr>
          <w:ilvl w:val="0"/>
          <w:numId w:val="31"/>
        </w:numPr>
        <w:spacing w:before="0" w:after="0" w:line="240" w:lineRule="auto"/>
        <w:rPr>
          <w:lang w:val="fr-CA"/>
        </w:rPr>
      </w:pPr>
      <w:r>
        <w:rPr>
          <w:lang w:val="fr-CA"/>
        </w:rPr>
        <w:lastRenderedPageBreak/>
        <w:t>Résultat du modèle cette fois en utilisant le log(INS_DEN)</w:t>
      </w:r>
    </w:p>
    <w:p w14:paraId="337AEDAE" w14:textId="6BC0973E" w:rsidR="00735AD1" w:rsidRPr="00735AD1" w:rsidRDefault="00735AD1" w:rsidP="00735AD1">
      <w:pPr>
        <w:pStyle w:val="Pardeliste"/>
        <w:jc w:val="center"/>
        <w:rPr>
          <w:lang w:val="fr-CA"/>
        </w:rPr>
      </w:pPr>
      <w:r w:rsidRPr="00A35298">
        <w:rPr>
          <w:noProof/>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deliste"/>
        <w:rPr>
          <w:lang w:val="fr-CA"/>
        </w:rPr>
      </w:pPr>
    </w:p>
    <w:p w14:paraId="7C045586" w14:textId="77777777" w:rsidR="00735AD1" w:rsidRDefault="00735AD1" w:rsidP="00735AD1">
      <w:pPr>
        <w:pStyle w:val="Par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deliste"/>
        <w:spacing w:before="0" w:after="0" w:line="240" w:lineRule="auto"/>
        <w:rPr>
          <w:lang w:val="fr-CA"/>
        </w:rPr>
      </w:pPr>
    </w:p>
    <w:p w14:paraId="2919A5A0" w14:textId="57F3AB1D" w:rsidR="00FA5850" w:rsidRDefault="00FA5850" w:rsidP="00FA5850">
      <w:pPr>
        <w:pStyle w:val="Pardeliste"/>
        <w:spacing w:before="0" w:after="0" w:line="240" w:lineRule="auto"/>
        <w:ind w:left="2124"/>
        <w:rPr>
          <w:lang w:val="fr-CA"/>
        </w:rPr>
      </w:pPr>
      <w:r w:rsidRPr="00FA5850">
        <w:rPr>
          <w:rFonts w:ascii="Calibri" w:hAnsi="Calibri"/>
          <w:noProof/>
          <w:sz w:val="24"/>
          <w:szCs w:val="24"/>
        </w:rPr>
        <w:drawing>
          <wp:inline distT="0" distB="0" distL="0" distR="0" wp14:anchorId="39F85605" wp14:editId="0708D988">
            <wp:extent cx="1397000" cy="6127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8" t="18780" r="92401" b="6134"/>
                    <a:stretch/>
                  </pic:blipFill>
                  <pic:spPr bwMode="auto">
                    <a:xfrm>
                      <a:off x="0" y="0"/>
                      <a:ext cx="1397827" cy="6131378"/>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deliste"/>
        <w:numPr>
          <w:ilvl w:val="0"/>
          <w:numId w:val="31"/>
        </w:numPr>
        <w:spacing w:before="0" w:after="0" w:line="240" w:lineRule="auto"/>
        <w:rPr>
          <w:lang w:val="fr-CA"/>
        </w:rPr>
      </w:pPr>
      <w:r>
        <w:rPr>
          <w:lang w:val="fr-CA"/>
        </w:rPr>
        <w:lastRenderedPageBreak/>
        <w:t xml:space="preserve">Loadings et cercles de corrélations </w:t>
      </w:r>
    </w:p>
    <w:p w14:paraId="6120E496" w14:textId="45EE2BB4" w:rsidR="00D73D13" w:rsidRDefault="00D73D13" w:rsidP="00D73D13">
      <w:pPr>
        <w:pStyle w:val="Pardeliste"/>
        <w:spacing w:before="0" w:after="0" w:line="240" w:lineRule="auto"/>
        <w:rPr>
          <w:lang w:val="fr-CA"/>
        </w:rPr>
      </w:pPr>
    </w:p>
    <w:p w14:paraId="5D0F70BB" w14:textId="33BCBEC4" w:rsidR="00D73D13" w:rsidRDefault="00D73D13" w:rsidP="003C4EA7">
      <w:pPr>
        <w:pStyle w:val="Pardeliste"/>
        <w:spacing w:before="0" w:after="0" w:line="240" w:lineRule="auto"/>
        <w:ind w:left="1416"/>
        <w:rPr>
          <w:lang w:val="fr-CA"/>
        </w:rPr>
      </w:pPr>
      <w:r>
        <w:rPr>
          <w:lang w:val="fr-CA"/>
        </w:rPr>
        <w:t>Loadings des variables explicatives pour les trois premières composantes :</w:t>
      </w:r>
    </w:p>
    <w:p w14:paraId="6AEF348D" w14:textId="77777777" w:rsidR="003C4EA7" w:rsidRDefault="003C4EA7" w:rsidP="003C4EA7">
      <w:pPr>
        <w:pStyle w:val="Pardeliste"/>
        <w:spacing w:before="0" w:after="0" w:line="240" w:lineRule="auto"/>
        <w:ind w:left="1416"/>
        <w:rPr>
          <w:lang w:val="fr-CA"/>
        </w:rPr>
      </w:pPr>
    </w:p>
    <w:p w14:paraId="3D13C938" w14:textId="0B784F0E" w:rsidR="00002FF9" w:rsidRDefault="00D73D13" w:rsidP="00002FF9">
      <w:pPr>
        <w:pStyle w:val="Par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deliste"/>
        <w:spacing w:before="0" w:after="0" w:line="240" w:lineRule="auto"/>
        <w:ind w:left="2124"/>
        <w:rPr>
          <w:lang w:val="fr-CA"/>
        </w:rPr>
      </w:pPr>
    </w:p>
    <w:p w14:paraId="16D897D5" w14:textId="77777777" w:rsidR="00E87D71" w:rsidRDefault="00E87D71" w:rsidP="00002FF9">
      <w:pPr>
        <w:pStyle w:val="Pardeliste"/>
        <w:spacing w:before="0" w:after="0" w:line="240" w:lineRule="auto"/>
        <w:ind w:left="1416"/>
        <w:rPr>
          <w:lang w:val="fr-CA"/>
        </w:rPr>
      </w:pPr>
    </w:p>
    <w:p w14:paraId="4758C1ED" w14:textId="7426FD84"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deliste"/>
        <w:spacing w:before="0" w:after="0" w:line="240" w:lineRule="auto"/>
        <w:ind w:left="1416"/>
        <w:rPr>
          <w:lang w:val="fr-CA"/>
        </w:rPr>
      </w:pPr>
    </w:p>
    <w:p w14:paraId="7A50D7C9" w14:textId="0153F10B" w:rsidR="00000BDA" w:rsidRDefault="00000BDA" w:rsidP="00000BDA">
      <w:pPr>
        <w:pStyle w:val="Par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5"/>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deliste"/>
        <w:spacing w:before="0" w:after="0" w:line="240" w:lineRule="auto"/>
        <w:ind w:left="1416"/>
        <w:rPr>
          <w:lang w:val="fr-CA"/>
        </w:rPr>
      </w:pPr>
    </w:p>
    <w:p w14:paraId="283AD5C0" w14:textId="77777777" w:rsidR="00E87D71" w:rsidRDefault="00E87D71" w:rsidP="00002FF9">
      <w:pPr>
        <w:pStyle w:val="Pardeliste"/>
        <w:spacing w:before="0" w:after="0" w:line="240" w:lineRule="auto"/>
        <w:ind w:left="1416"/>
        <w:rPr>
          <w:lang w:val="fr-CA"/>
        </w:rPr>
      </w:pPr>
    </w:p>
    <w:p w14:paraId="424E41E7" w14:textId="19673A78"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deliste"/>
        <w:spacing w:before="0" w:after="0" w:line="240" w:lineRule="auto"/>
        <w:ind w:left="1416"/>
        <w:rPr>
          <w:lang w:val="fr-CA"/>
        </w:rPr>
      </w:pPr>
    </w:p>
    <w:p w14:paraId="25A9C190" w14:textId="7740F941" w:rsidR="00000BDA" w:rsidRPr="00002FF9" w:rsidRDefault="00000BDA" w:rsidP="00000BDA">
      <w:pPr>
        <w:pStyle w:val="Par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6"/>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11CF8663" w14:textId="77777777" w:rsidR="00D73D13" w:rsidRPr="00D73D13" w:rsidRDefault="00D73D13" w:rsidP="00D73D13">
      <w:pPr>
        <w:pStyle w:val="Pardeliste"/>
        <w:spacing w:before="0" w:after="0" w:line="240" w:lineRule="auto"/>
        <w:rPr>
          <w:lang w:val="fr-CA"/>
        </w:rPr>
      </w:pPr>
    </w:p>
    <w:p w14:paraId="291172B7" w14:textId="77777777" w:rsidR="00D73D13" w:rsidRPr="00735AD1" w:rsidRDefault="00D73D13" w:rsidP="00735AD1">
      <w:pPr>
        <w:pStyle w:val="Pardeliste"/>
        <w:numPr>
          <w:ilvl w:val="0"/>
          <w:numId w:val="31"/>
        </w:numPr>
        <w:spacing w:before="0" w:after="0" w:line="240" w:lineRule="auto"/>
        <w:rPr>
          <w:lang w:val="fr-CA"/>
        </w:rPr>
      </w:pPr>
    </w:p>
    <w:p w14:paraId="01CC24C1" w14:textId="77777777" w:rsidR="00735AD1" w:rsidRDefault="00735AD1" w:rsidP="00735AD1"/>
    <w:p w14:paraId="25B15779" w14:textId="26031E92" w:rsidR="008925C8" w:rsidRDefault="008925C8" w:rsidP="00735AD1">
      <w:r>
        <w:lastRenderedPageBreak/>
        <w:t xml:space="preserve">Annexe pour classification ascendante hierarchique </w:t>
      </w:r>
      <w:bookmarkStart w:id="12" w:name="_GoBack"/>
      <w:bookmarkEnd w:id="12"/>
    </w:p>
    <w:p w14:paraId="1F757D3F" w14:textId="22097908" w:rsidR="008925C8" w:rsidRPr="00735AD1" w:rsidRDefault="008925C8" w:rsidP="00735AD1">
      <w:r>
        <w:rPr>
          <w:rFonts w:ascii="Calibri" w:hAnsi="Calibri" w:cs="Calibri"/>
          <w:noProof/>
          <w:sz w:val="24"/>
          <w:szCs w:val="24"/>
        </w:rPr>
        <w:drawing>
          <wp:inline distT="0" distB="0" distL="0" distR="0" wp14:anchorId="73E58254" wp14:editId="46C5B871">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7">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6074FB13" wp14:editId="02D0F993">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68">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sectPr w:rsidR="008925C8" w:rsidRPr="00735AD1" w:rsidSect="002E650F">
      <w:footerReference w:type="even" r:id="rId69"/>
      <w:footerReference w:type="default" r:id="rId70"/>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lvina.govendasamy@gmail.com" w:date="2018-10-24T16:43:00Z" w:initials="e">
    <w:p w14:paraId="169EC766" w14:textId="2AB28FDE" w:rsidR="00A0383A" w:rsidRDefault="00A0383A" w:rsidP="00CA2C16">
      <w:pPr>
        <w:pStyle w:val="Commentaire"/>
      </w:pPr>
      <w:r>
        <w:rPr>
          <w:rStyle w:val="Marquedecommentaire"/>
        </w:rPr>
        <w:annotationRef/>
      </w:r>
      <w:r>
        <w:t>Présenter un mini résumé du résultat (conclusion).</w:t>
      </w:r>
    </w:p>
    <w:p w14:paraId="08591748" w14:textId="202C78AB" w:rsidR="00A0383A" w:rsidRDefault="00A0383A" w:rsidP="00CA2C16">
      <w:pPr>
        <w:pStyle w:val="Commentaire"/>
      </w:pPr>
      <w:r>
        <w:t>Présenter rapidement le sujet, comment on a procédé (ACP, comparaison de modèle)</w:t>
      </w:r>
    </w:p>
    <w:p w14:paraId="5CDEE4B2" w14:textId="77777777" w:rsidR="00A0383A" w:rsidRDefault="00A0383A" w:rsidP="00CA2C16">
      <w:pPr>
        <w:pStyle w:val="Commentaire"/>
      </w:pPr>
    </w:p>
    <w:p w14:paraId="6DF85BB3" w14:textId="77777777" w:rsidR="00A0383A" w:rsidRDefault="00A0383A" w:rsidP="00CA2C16">
      <w:pPr>
        <w:pStyle w:val="Commentaire"/>
      </w:pPr>
      <w:r>
        <w:t>Ecrire un abstract en anglais</w:t>
      </w:r>
    </w:p>
  </w:comment>
  <w:comment w:id="5" w:author="Destin ASHUZA CIRUMANGA" w:date="2020-04-26T02:46:00Z" w:initials="DAC">
    <w:p w14:paraId="63D95291" w14:textId="77777777" w:rsidR="00A0383A" w:rsidRDefault="00A0383A" w:rsidP="00000886">
      <w:pPr>
        <w:pStyle w:val="Commentaire"/>
      </w:pPr>
      <w:r>
        <w:rPr>
          <w:rStyle w:val="Marquedecommentaire"/>
        </w:rPr>
        <w:annotationRef/>
      </w:r>
      <w:r>
        <w:rPr>
          <w:rStyle w:val="Marquedecommentaire"/>
        </w:rPr>
        <w:annotationRef/>
      </w:r>
      <w:r>
        <w:t>Revoir le choix du nombre de composantes pour PCR (on n’est parti directement avec 3 composantes pour appliquer la  validation croisée. Il faut partir avec le max possible : avec 11 variables explicatives, on peut avoir 11 composantes au maximum. Par exemple si on part avec ncomp = 10, la validation croisée montre qu’il faut garder 5 composantes avec le critère PRESS.</w:t>
      </w:r>
    </w:p>
    <w:p w14:paraId="23417B24" w14:textId="77777777" w:rsidR="00A0383A" w:rsidRDefault="00A0383A" w:rsidP="00000886">
      <w:pPr>
        <w:pStyle w:val="Commentaire"/>
      </w:pPr>
    </w:p>
    <w:p w14:paraId="221DCE3A" w14:textId="21FE1782" w:rsidR="00A0383A" w:rsidRDefault="00A0383A" w:rsidP="00000886">
      <w:pPr>
        <w:pStyle w:val="Commentaire"/>
      </w:pPr>
      <w:r>
        <w:t>Puis je me demande si on peut bien parler de « contradiction »  avec l’ACP. En effet, l’ACP est faite juste dans un souci descriptif. La PCR et La PLSR sont faites dans un but aussi prédictif. La validation croisée permet de tenir compte de la qualité de prédiction dans un certain sens.</w:t>
      </w:r>
    </w:p>
    <w:p w14:paraId="2BD88A14" w14:textId="2D35EF6B" w:rsidR="00A0383A" w:rsidRDefault="00A0383A" w:rsidP="00000886">
      <w:pPr>
        <w:pStyle w:val="Commentaire"/>
      </w:pPr>
    </w:p>
    <w:p w14:paraId="092EA0A9" w14:textId="667913D9" w:rsidR="00A0383A" w:rsidRDefault="00A0383A" w:rsidP="00000886">
      <w:pPr>
        <w:pStyle w:val="Commentaire"/>
      </w:pPr>
      <w:r>
        <w:t>Aussi, les variables n’ayant pas les mêmes unités, faire la PCR avec scale=TRUE pour avoir des variables réduites plutôt avec unité neutre.</w:t>
      </w:r>
    </w:p>
    <w:p w14:paraId="6C7D38BF" w14:textId="77777777" w:rsidR="00A0383A" w:rsidRDefault="00A0383A" w:rsidP="00000886">
      <w:pPr>
        <w:pStyle w:val="Commentaire"/>
      </w:pPr>
    </w:p>
    <w:p w14:paraId="1AF6E1A3" w14:textId="77777777" w:rsidR="00A0383A" w:rsidRDefault="00A0383A" w:rsidP="00000886">
      <w:pPr>
        <w:pStyle w:val="Commentaire"/>
      </w:pPr>
      <w:r>
        <w:t>Enfin, la PCR a été appliquée avec les variables INS_DEN et GNI d’origine et non leurs transformations logarithmiques. Peut-être il faut bien l’appliquer avec ces transformations logarithmiques qui ont été faites dans le but de s’assurer de la linéarité du modèle (et ceci est aussi un prérequis pour PCR et PLS je pense). La PCR et la PLS peuvent corriger le problème de multicolinéarité des variables mais pas celui de non linéarité du modèle… (je vais continuer avec les variables d’origine et puis on va réfléchir sur ce point à la fin).</w:t>
      </w:r>
    </w:p>
    <w:p w14:paraId="011B7F46" w14:textId="0C3AF393" w:rsidR="00A0383A" w:rsidRDefault="00A0383A">
      <w:pPr>
        <w:pStyle w:val="Commentaire"/>
      </w:pPr>
    </w:p>
  </w:comment>
  <w:comment w:id="4" w:author="Destin ASHUZA CIRUMANGA" w:date="2020-04-28T01:44:00Z" w:initials="DAC">
    <w:p w14:paraId="3A686826" w14:textId="1D963F9D" w:rsidR="00A0383A" w:rsidRDefault="00A0383A">
      <w:pPr>
        <w:pStyle w:val="Commentaire"/>
      </w:pPr>
      <w:r>
        <w:rPr>
          <w:rStyle w:val="Marquedecommentaire"/>
        </w:rPr>
        <w:annotationRef/>
      </w:r>
      <w:r>
        <w:t>Du coup, avec les nouvelles modifications, l’ACP ne rapporte plus les mêmes conclusions sûrement.</w:t>
      </w:r>
    </w:p>
    <w:p w14:paraId="38F8419E" w14:textId="77777777" w:rsidR="00A0383A" w:rsidRDefault="00A0383A">
      <w:pPr>
        <w:pStyle w:val="Commentaire"/>
      </w:pPr>
    </w:p>
    <w:p w14:paraId="6501CEAA" w14:textId="03C4211C" w:rsidR="00A0383A" w:rsidRDefault="00A0383A">
      <w:pPr>
        <w:pStyle w:val="Commentaire"/>
      </w:pPr>
      <w:r>
        <w:t>Il faut peut-être refaire l’ACP ou vérifier directement si la signification des axes n’a pas changé en regardant les loadings de variables explicatives.</w:t>
      </w:r>
    </w:p>
  </w:comment>
  <w:comment w:id="6" w:author="Destin ASHUZA CIRUMANGA" w:date="2020-04-28T02:28:00Z" w:initials="DAC">
    <w:p w14:paraId="1B0F6A80" w14:textId="505E478A" w:rsidR="00A0383A" w:rsidRDefault="00A0383A">
      <w:pPr>
        <w:pStyle w:val="Commentaire"/>
      </w:pPr>
      <w:r>
        <w:rPr>
          <w:rStyle w:val="Marquedecommentaire"/>
        </w:rPr>
        <w:annotationRef/>
      </w:r>
      <w:r>
        <w:t>La position des variables a changé sur la nouvelle Figure 13 quand j’ai actualisé le cercle de corrélation par rapport au  nouveau modèle retenu. Donc on doit bien vérifier si nous gardons les mêmes conclusions avec l’ACP. Mais je crois que ca va rester essentiellement pareil.</w:t>
      </w:r>
    </w:p>
  </w:comment>
  <w:comment w:id="7" w:author="Destin ASHUZA CIRUMANGA" w:date="2020-04-28T02:34:00Z" w:initials="DAC">
    <w:p w14:paraId="5A0B3B7C" w14:textId="3F6A3CDE" w:rsidR="00A0383A" w:rsidRDefault="00A0383A">
      <w:pPr>
        <w:pStyle w:val="Commentaire"/>
      </w:pPr>
      <w:r>
        <w:rPr>
          <w:rStyle w:val="Marquedecommentaire"/>
        </w:rPr>
        <w:annotationRef/>
      </w:r>
      <w:r>
        <w:t>Même observation ici : soit faire l’ACP avec les log, soit utilisés les loadings et cercles de corrélations pour interpréter les axes de la PCR. Mais plus directement l’ancienne ACP sans vérifier.</w:t>
      </w:r>
    </w:p>
  </w:comment>
  <w:comment w:id="8" w:author="Destin ASHUZA CIRUMANGA" w:date="2020-04-27T18:21:00Z" w:initials="DAC">
    <w:p w14:paraId="6AB4A1AE" w14:textId="6090B479" w:rsidR="00A0383A" w:rsidRDefault="00A0383A">
      <w:pPr>
        <w:pStyle w:val="Commentaire"/>
      </w:pPr>
      <w:r>
        <w:rPr>
          <w:rStyle w:val="Marquedecommentaire"/>
        </w:rPr>
        <w:annotationRef/>
      </w:r>
      <w:r>
        <w:t>Est-ce qu’on a interprété le bon axe ici ???? dim 3 ca reste l’axe vertical et non horizontal malgré tout. A vérifier avec cos2 et contrib des variables si possible</w:t>
      </w:r>
    </w:p>
  </w:comment>
  <w:comment w:id="9" w:author="Destin ASHUZA CIRUMANGA" w:date="2020-04-28T04:01:00Z" w:initials="DAC">
    <w:p w14:paraId="5EDAA1CC" w14:textId="7C6C3B49" w:rsidR="00A0383A" w:rsidRDefault="00A0383A">
      <w:pPr>
        <w:pStyle w:val="Commentaire"/>
      </w:pPr>
      <w:r>
        <w:rPr>
          <w:rStyle w:val="Marquedecommentaire"/>
        </w:rPr>
        <w:annotationRef/>
      </w:r>
      <w:r>
        <w:t>En réalité je ne vois pas le plus qu’apporte l’interprétation des scores dans notre étude. Du coup, je mets juste les graphes chaque fois</w:t>
      </w:r>
    </w:p>
  </w:comment>
  <w:comment w:id="10" w:author="Destin ASHUZA CIRUMANGA" w:date="2020-04-27T13:38:00Z" w:initials="DAC">
    <w:p w14:paraId="6A715483" w14:textId="683A956B" w:rsidR="00A0383A" w:rsidRDefault="00A0383A">
      <w:pPr>
        <w:pStyle w:val="Commentaire"/>
      </w:pPr>
      <w:r>
        <w:rPr>
          <w:rStyle w:val="Marquedecommentaire"/>
        </w:rPr>
        <w:annotationRef/>
      </w:r>
      <w:r>
        <w:t>Est-ce que c’est vrai même ? Bon j’ai dit ça par rapport au cours mais il me semble que la fonction pcr de R peut le faire.</w:t>
      </w:r>
    </w:p>
  </w:comment>
  <w:comment w:id="11" w:author="Elvi Govendasamy" w:date="2020-03-26T16:45:00Z" w:initials="EG">
    <w:p w14:paraId="06E2A01A" w14:textId="1743709D" w:rsidR="00A0383A" w:rsidRDefault="00A0383A">
      <w:pPr>
        <w:pStyle w:val="Commentaire"/>
      </w:pPr>
      <w:r>
        <w:rPr>
          <w:rStyle w:val="Marquedecommentaire"/>
        </w:rPr>
        <w:annotationRef/>
      </w:r>
      <w:r>
        <w:t>Bref description de l’assurance vie, le modèle choisi, et donner les lacunes possibles de la méthodologie :</w:t>
      </w:r>
    </w:p>
    <w:p w14:paraId="4ECFDAEF" w14:textId="77777777" w:rsidR="00A0383A" w:rsidRDefault="00A0383A" w:rsidP="0051090A">
      <w:pPr>
        <w:pStyle w:val="Commentaire"/>
        <w:numPr>
          <w:ilvl w:val="0"/>
          <w:numId w:val="30"/>
        </w:numPr>
      </w:pPr>
      <w:r>
        <w:t xml:space="preserve"> Peut etre faudrait-il plus de données,</w:t>
      </w:r>
    </w:p>
    <w:p w14:paraId="707DD6A5" w14:textId="26A07DEA" w:rsidR="00A0383A" w:rsidRDefault="00A0383A" w:rsidP="0051090A">
      <w:pPr>
        <w:pStyle w:val="Commentaire"/>
        <w:numPr>
          <w:ilvl w:val="0"/>
          <w:numId w:val="30"/>
        </w:numPr>
      </w:pPr>
      <w:r>
        <w:t xml:space="preserve"> Peut etre qu’il faudrait tester d’autres variables</w:t>
      </w:r>
    </w:p>
    <w:p w14:paraId="651E09A4" w14:textId="55D345C4" w:rsidR="00A0383A" w:rsidRDefault="00A0383A" w:rsidP="0051090A">
      <w:pPr>
        <w:pStyle w:val="Commentaire"/>
        <w:numPr>
          <w:ilvl w:val="0"/>
          <w:numId w:val="30"/>
        </w:numPr>
      </w:pPr>
      <w:r>
        <w:t xml:space="preserve"> Nous avons choisi d’enlever les données abérrantes, peut etre meilleur résultat si on les avais gardé.</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F85BB3" w15:done="0"/>
  <w15:commentEx w15:paraId="011B7F46" w15:done="0"/>
  <w15:commentEx w15:paraId="6501CEAA" w15:done="0"/>
  <w15:commentEx w15:paraId="1B0F6A80" w15:done="0"/>
  <w15:commentEx w15:paraId="5A0B3B7C" w15:done="0"/>
  <w15:commentEx w15:paraId="6AB4A1AE" w15:done="0"/>
  <w15:commentEx w15:paraId="5EDAA1CC"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85BB3" w16cid:durableId="1F7B1FA1"/>
  <w16cid:commentId w16cid:paraId="011B7F46" w16cid:durableId="224F747F"/>
  <w16cid:commentId w16cid:paraId="6501CEAA" w16cid:durableId="22520905"/>
  <w16cid:commentId w16cid:paraId="1B0F6A80" w16cid:durableId="22521367"/>
  <w16cid:commentId w16cid:paraId="5A0B3B7C" w16cid:durableId="225214CA"/>
  <w16cid:commentId w16cid:paraId="6AB4A1AE" w16cid:durableId="2251A144"/>
  <w16cid:commentId w16cid:paraId="5EDAA1CC" w16cid:durableId="2252292C"/>
  <w16cid:commentId w16cid:paraId="6A715483" w16cid:durableId="22515EC6"/>
  <w16cid:commentId w16cid:paraId="651E09A4" w16cid:durableId="22275A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A7789" w14:textId="77777777" w:rsidR="00A30817" w:rsidRDefault="00A30817" w:rsidP="00905168">
      <w:pPr>
        <w:spacing w:line="240" w:lineRule="auto"/>
      </w:pPr>
      <w:r>
        <w:separator/>
      </w:r>
    </w:p>
  </w:endnote>
  <w:endnote w:type="continuationSeparator" w:id="0">
    <w:p w14:paraId="3E7D1001" w14:textId="77777777" w:rsidR="00A30817" w:rsidRDefault="00A30817"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游ゴシック Light">
    <w:charset w:val="80"/>
    <w:family w:val="auto"/>
    <w:pitch w:val="variable"/>
    <w:sig w:usb0="E00002FF" w:usb1="2AC7FDFF" w:usb2="00000016" w:usb3="00000000" w:csb0="0002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48467" w14:textId="77777777" w:rsidR="00A0383A" w:rsidRDefault="00A0383A"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925C8">
      <w:rPr>
        <w:rStyle w:val="Numrodepage"/>
        <w:noProof/>
      </w:rPr>
      <w:t>58</w:t>
    </w:r>
    <w:r>
      <w:rPr>
        <w:rStyle w:val="Numrodepage"/>
      </w:rPr>
      <w:fldChar w:fldCharType="end"/>
    </w:r>
  </w:p>
  <w:p w14:paraId="0409D95D" w14:textId="77777777" w:rsidR="00A0383A" w:rsidRDefault="00A0383A" w:rsidP="0090516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BADC1" w14:textId="77777777" w:rsidR="00A0383A" w:rsidRDefault="00A0383A"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925C8">
      <w:rPr>
        <w:rStyle w:val="Numrodepage"/>
        <w:noProof/>
      </w:rPr>
      <w:t>57</w:t>
    </w:r>
    <w:r>
      <w:rPr>
        <w:rStyle w:val="Numrodepage"/>
      </w:rPr>
      <w:fldChar w:fldCharType="end"/>
    </w:r>
  </w:p>
  <w:p w14:paraId="4F8C72C4" w14:textId="77777777" w:rsidR="00A0383A" w:rsidRDefault="00A0383A" w:rsidP="0090516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6BCE8" w14:textId="77777777" w:rsidR="00A30817" w:rsidRDefault="00A30817" w:rsidP="00905168">
      <w:pPr>
        <w:spacing w:line="240" w:lineRule="auto"/>
      </w:pPr>
      <w:r>
        <w:separator/>
      </w:r>
    </w:p>
  </w:footnote>
  <w:footnote w:type="continuationSeparator" w:id="0">
    <w:p w14:paraId="5AFC2B1C" w14:textId="77777777" w:rsidR="00A30817" w:rsidRDefault="00A30817" w:rsidP="00905168">
      <w:pPr>
        <w:spacing w:line="240" w:lineRule="auto"/>
      </w:pPr>
      <w:r>
        <w:continuationSeparator/>
      </w:r>
    </w:p>
  </w:footnote>
  <w:footnote w:id="1">
    <w:p w14:paraId="6C4B7F72" w14:textId="77777777" w:rsidR="00A0383A" w:rsidRPr="00DC0052" w:rsidRDefault="00A0383A"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Abkemeier, Noel J., Bonach, Edward J., and Papasavvas, Demos K. Evolution of Life Insurance Industry Throughout the World. </w:t>
      </w:r>
      <w:r w:rsidRPr="00DC0052">
        <w:rPr>
          <w:sz w:val="20"/>
          <w:szCs w:val="20"/>
        </w:rPr>
        <w:t xml:space="preserve">1990. </w:t>
      </w:r>
      <w:r w:rsidRPr="00DC0052">
        <w:rPr>
          <w:i/>
          <w:sz w:val="20"/>
          <w:szCs w:val="20"/>
        </w:rPr>
        <w:t>Record of Society of Actuaries</w:t>
      </w:r>
      <w:r w:rsidRPr="00DC0052">
        <w:rPr>
          <w:sz w:val="20"/>
          <w:szCs w:val="20"/>
        </w:rPr>
        <w:t xml:space="preserve">. </w:t>
      </w:r>
    </w:p>
  </w:footnote>
  <w:footnote w:id="2">
    <w:p w14:paraId="66BC4EB3" w14:textId="77777777" w:rsidR="00A0383A" w:rsidRPr="00A61E0D" w:rsidRDefault="00A0383A" w:rsidP="00A61E0D">
      <w:pPr>
        <w:pStyle w:val="Normalweb"/>
        <w:spacing w:before="0" w:beforeAutospacing="0" w:after="0" w:afterAutospacing="0"/>
        <w:rPr>
          <w:sz w:val="20"/>
          <w:szCs w:val="20"/>
        </w:rPr>
      </w:pPr>
      <w:r w:rsidRPr="00A61E0D">
        <w:rPr>
          <w:rStyle w:val="Appelnotedebasdep"/>
          <w:sz w:val="20"/>
          <w:szCs w:val="20"/>
        </w:rPr>
        <w:footnoteRef/>
      </w:r>
      <w:r w:rsidRPr="00A61E0D">
        <w:rPr>
          <w:sz w:val="20"/>
          <w:szCs w:val="20"/>
        </w:rPr>
        <w:t xml:space="preserve">Jérôme Bonnard. Les conséquences des crises financières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A0383A" w:rsidRPr="008A5994" w:rsidRDefault="00A0383A"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A0383A" w:rsidRPr="000A5279" w:rsidRDefault="00A0383A"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Abkemeier, Noel J., Bonach, Edward J., and Papasavvas,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A0383A" w:rsidRPr="00E743ED" w:rsidRDefault="00A0383A" w:rsidP="00151D10">
      <w:pPr>
        <w:ind w:left="142"/>
      </w:pPr>
      <w:r w:rsidRPr="00E743ED">
        <w:rPr>
          <w:rStyle w:val="Appelnotedebasdep"/>
        </w:rPr>
        <w:footnoteRef/>
      </w:r>
      <w:r w:rsidRPr="00E743ED">
        <w:rPr>
          <w:lang w:val="en-US"/>
        </w:rPr>
        <w:t xml:space="preserve"> Tienyu, Hwang. The determinants of the demand for life insurance in an emerging economy – the case of China.   </w:t>
      </w:r>
      <w:r w:rsidRPr="00E743ED">
        <w:t xml:space="preserve">2003. Managerial Finance. Vol 29. p82-96 </w:t>
      </w:r>
    </w:p>
  </w:footnote>
  <w:footnote w:id="6">
    <w:p w14:paraId="31C65167" w14:textId="77777777" w:rsidR="00A0383A" w:rsidRPr="00E743ED" w:rsidRDefault="00A0383A" w:rsidP="00151D10">
      <w:pPr>
        <w:ind w:left="142"/>
        <w:rPr>
          <w:highlight w:val="green"/>
        </w:rPr>
      </w:pPr>
      <w:r w:rsidRPr="00E743ED">
        <w:rPr>
          <w:rStyle w:val="Appelnotedebasdep"/>
        </w:rPr>
        <w:footnoteRef/>
      </w:r>
      <w:r w:rsidRPr="00E743ED">
        <w:t xml:space="preserve"> Dieng, Momar S., et Fall, Mouhamadou. Les déterminants de la consommation d’assurance-vie : le cas de l’UEMOA. 2015. Revue d’Économie Théorique et appliquée. (juin). p 15-36</w:t>
      </w:r>
    </w:p>
  </w:footnote>
  <w:footnote w:id="7">
    <w:p w14:paraId="202DA0D4" w14:textId="77777777" w:rsidR="00A0383A" w:rsidRPr="00E743ED" w:rsidRDefault="00A0383A"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Thorsten,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A0383A" w:rsidRPr="00151D10" w:rsidRDefault="00A0383A"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r w:rsidRPr="00151D10">
        <w:rPr>
          <w:lang w:val="en-US"/>
        </w:rPr>
        <w:t xml:space="preserve">Téléchargement: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A0383A" w:rsidRPr="00151D10" w:rsidRDefault="00A0383A" w:rsidP="00151D10">
      <w:pPr>
        <w:ind w:left="142"/>
        <w:rPr>
          <w:highlight w:val="green"/>
          <w:lang w:val="en-US"/>
        </w:rPr>
      </w:pPr>
      <w:r w:rsidRPr="00E743ED">
        <w:rPr>
          <w:rStyle w:val="Appelnotedebasdep"/>
        </w:rPr>
        <w:footnoteRef/>
      </w:r>
      <w:r w:rsidRPr="00E743ED">
        <w:t xml:space="preserve"> Dieng, Momar S., et Fall, Mouhamadou. Les déterminants de la consommation d’assurance-vie : le cas de l’UEMOA. </w:t>
      </w:r>
      <w:r w:rsidRPr="00151D10">
        <w:rPr>
          <w:lang w:val="en-US"/>
        </w:rPr>
        <w:t>2015. Revue d’Économie Théorique et appliquée. (juin). p 15-36</w:t>
      </w:r>
    </w:p>
  </w:footnote>
  <w:footnote w:id="10">
    <w:p w14:paraId="4E99C0E6" w14:textId="77777777" w:rsidR="00A0383A" w:rsidRPr="005D757A" w:rsidRDefault="00A0383A"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Tienyu,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A0383A" w:rsidRPr="005D757A" w:rsidRDefault="00A0383A"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r w:rsidRPr="005D757A">
        <w:rPr>
          <w:lang w:val="en-US"/>
        </w:rPr>
        <w:t xml:space="preserve">Téléchargement: </w:t>
      </w:r>
      <w:hyperlink r:id="rId5" w:history="1">
        <w:r w:rsidRPr="005D757A">
          <w:rPr>
            <w:rStyle w:val="Lienhypertexte"/>
            <w:lang w:val="en-US"/>
          </w:rPr>
          <w:t>https://pdfs.semanticscholar.org/36f8/b2b87f98257f82964cc20b86443df2dfff20.pdf</w:t>
        </w:r>
      </w:hyperlink>
      <w:r w:rsidRPr="005D757A">
        <w:rPr>
          <w:lang w:val="en-US"/>
        </w:rPr>
        <w:t xml:space="preserve"> </w:t>
      </w:r>
    </w:p>
  </w:footnote>
  <w:footnote w:id="12">
    <w:p w14:paraId="7A29289A" w14:textId="77777777" w:rsidR="00A0383A" w:rsidRPr="00E743ED" w:rsidRDefault="00A0383A"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Tienyu, Hwang. The determinants of the demand for life insurance in an emerging economy – the case of China.   </w:t>
      </w:r>
      <w:r w:rsidRPr="00E743ED">
        <w:rPr>
          <w:sz w:val="20"/>
          <w:szCs w:val="20"/>
        </w:rPr>
        <w:t xml:space="preserve">2003. Managerial Finance. Vol 29. p82-96  </w:t>
      </w:r>
    </w:p>
  </w:footnote>
  <w:footnote w:id="13">
    <w:p w14:paraId="18079C73" w14:textId="77777777" w:rsidR="00A0383A" w:rsidRPr="00E743ED" w:rsidRDefault="00A0383A" w:rsidP="00151D10">
      <w:pPr>
        <w:ind w:left="142"/>
        <w:rPr>
          <w:highlight w:val="green"/>
        </w:rPr>
      </w:pPr>
      <w:r w:rsidRPr="00E743ED">
        <w:rPr>
          <w:rStyle w:val="Appelnotedebasdep"/>
        </w:rPr>
        <w:footnoteRef/>
      </w:r>
      <w:r w:rsidRPr="00E743ED">
        <w:t xml:space="preserve"> Dieng, Momar S., et Fall, Mouhamadou. Les déterminants de la consommation d’assurance-vie : le cas de l’UEMOA. 2015. Revue d’Économie Théorique et appliquée. (juin). p 15-36</w:t>
      </w:r>
    </w:p>
  </w:footnote>
  <w:footnote w:id="14">
    <w:p w14:paraId="7709AF08" w14:textId="77777777" w:rsidR="00A0383A" w:rsidRPr="005D757A" w:rsidRDefault="00A0383A" w:rsidP="00151D10">
      <w:pPr>
        <w:ind w:left="142"/>
        <w:rPr>
          <w:lang w:val="en-US"/>
        </w:rPr>
      </w:pPr>
      <w:r w:rsidRPr="00E743ED">
        <w:rPr>
          <w:rStyle w:val="Appelnotedebasdep"/>
        </w:rPr>
        <w:footnoteRef/>
      </w:r>
      <w:r w:rsidRPr="00151D10">
        <w:t xml:space="preserve"> Thorsten, Beck and Webb, Ian. </w:t>
      </w:r>
      <w:r w:rsidRPr="00E743ED">
        <w:rPr>
          <w:lang w:val="en-US"/>
        </w:rPr>
        <w:t xml:space="preserve">Economic, Demographic, and Institutional Determinants of Life Insurance Consumption across Countries. 2002. World Bank and International Insurance Foundation. </w:t>
      </w:r>
      <w:r w:rsidRPr="005D757A">
        <w:rPr>
          <w:lang w:val="en-US"/>
        </w:rPr>
        <w:t xml:space="preserve">Téléchargement: </w:t>
      </w:r>
      <w:hyperlink r:id="rId6" w:history="1">
        <w:r w:rsidRPr="005D757A">
          <w:rPr>
            <w:rStyle w:val="Lienhypertexte"/>
            <w:lang w:val="en-US"/>
          </w:rPr>
          <w:t>https://pdfs.semanticscholar.org/36f8/b2b87f98257f82964cc20b86443df2dfff20.pdf</w:t>
        </w:r>
      </w:hyperlink>
      <w:r w:rsidRPr="005D757A">
        <w:rPr>
          <w:lang w:val="en-US"/>
        </w:rPr>
        <w:t xml:space="preserve"> </w:t>
      </w:r>
    </w:p>
  </w:footnote>
  <w:footnote w:id="15">
    <w:p w14:paraId="498CBC25" w14:textId="77777777" w:rsidR="00A0383A" w:rsidRPr="00E743ED" w:rsidRDefault="00A0383A" w:rsidP="00151D10">
      <w:pPr>
        <w:pStyle w:val="Notedebasdepage"/>
        <w:ind w:left="142"/>
        <w:rPr>
          <w:sz w:val="20"/>
          <w:szCs w:val="20"/>
        </w:rPr>
      </w:pPr>
      <w:r w:rsidRPr="00E743ED">
        <w:rPr>
          <w:rStyle w:val="Appelnotedebasdep"/>
          <w:sz w:val="20"/>
          <w:szCs w:val="20"/>
        </w:rPr>
        <w:footnoteRef/>
      </w:r>
      <w:r w:rsidRPr="00E743ED">
        <w:rPr>
          <w:sz w:val="20"/>
          <w:szCs w:val="20"/>
          <w:lang w:val="en-US"/>
        </w:rPr>
        <w:t xml:space="preserve"> Tienyu, Hwang. The determinants of the demand for life insurance in an emerging economy – the case of China.   </w:t>
      </w:r>
      <w:r w:rsidRPr="00E743ED">
        <w:rPr>
          <w:sz w:val="20"/>
          <w:szCs w:val="20"/>
        </w:rPr>
        <w:t xml:space="preserve">2003. Managerial Finance. Vol 29. p82-96  </w:t>
      </w:r>
    </w:p>
  </w:footnote>
  <w:footnote w:id="16">
    <w:p w14:paraId="371AA332" w14:textId="77777777" w:rsidR="00A0383A" w:rsidRPr="00E743ED" w:rsidRDefault="00A0383A" w:rsidP="00151D10">
      <w:pPr>
        <w:ind w:left="142"/>
        <w:rPr>
          <w:highlight w:val="green"/>
        </w:rPr>
      </w:pPr>
      <w:r w:rsidRPr="00E743ED">
        <w:rPr>
          <w:rStyle w:val="Appelnotedebasdep"/>
        </w:rPr>
        <w:footnoteRef/>
      </w:r>
      <w:r w:rsidRPr="00E743ED">
        <w:t xml:space="preserve"> Dieng, Momar S., et Fall, Mouhamadou. Les déterminants de la consommation d’assurance-vie : le cas de l’UEMOA. 2015. Revue d’Économie Théorique et appliquée. (juin). p 15-36</w:t>
      </w:r>
    </w:p>
  </w:footnote>
  <w:footnote w:id="17">
    <w:p w14:paraId="5C0C7D2F" w14:textId="262CA65E" w:rsidR="00A0383A" w:rsidRPr="00C6490F" w:rsidRDefault="00A0383A"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OCDE Statistics</w:t>
      </w:r>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A0383A" w:rsidRPr="00C6490F" w:rsidRDefault="00A0383A"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A0383A" w:rsidRPr="00C6490F" w:rsidRDefault="00A0383A">
      <w:pPr>
        <w:pStyle w:val="Notedebasdepage"/>
        <w:rPr>
          <w:lang w:val="en-GB"/>
        </w:rPr>
      </w:pPr>
    </w:p>
  </w:footnote>
  <w:footnote w:id="19">
    <w:p w14:paraId="6BD964D0" w14:textId="77777777" w:rsidR="00A0383A" w:rsidRPr="0010145F" w:rsidRDefault="00A0383A"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A0383A" w:rsidRDefault="00A0383A"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A0383A" w:rsidRPr="008841E0" w:rsidRDefault="00A0383A"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A0383A" w:rsidRPr="003D257A" w:rsidRDefault="00A0383A"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A0383A" w:rsidRPr="00CA2CA2" w:rsidRDefault="00A0383A"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A0383A" w:rsidRPr="001D554E" w:rsidRDefault="00A0383A"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A0383A" w:rsidRPr="008841E0" w:rsidRDefault="00A0383A"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A0383A" w:rsidRPr="008841E0" w:rsidRDefault="00A0383A"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A0383A" w:rsidRPr="00334DB0" w:rsidRDefault="00A0383A"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Ahlgrim,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A0383A" w:rsidRPr="00602F42" w:rsidRDefault="00A0383A"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A0383A" w:rsidRPr="00602F42" w:rsidRDefault="00A0383A" w:rsidP="00602F42">
      <w:pPr>
        <w:pStyle w:val="Notedebasdepage"/>
        <w:rPr>
          <w:lang w:val="en-US"/>
        </w:rPr>
      </w:pPr>
    </w:p>
  </w:footnote>
  <w:footnote w:id="29">
    <w:p w14:paraId="443CA75F" w14:textId="46BBCC40" w:rsidR="00A0383A" w:rsidRPr="00CA2CA2" w:rsidRDefault="00A0383A"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A0383A" w:rsidRDefault="00A0383A"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A0383A" w:rsidRPr="00C613C6" w:rsidRDefault="00A0383A"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8">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9">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1">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22"/>
  </w:num>
  <w:num w:numId="3">
    <w:abstractNumId w:val="20"/>
  </w:num>
  <w:num w:numId="4">
    <w:abstractNumId w:val="1"/>
  </w:num>
  <w:num w:numId="5">
    <w:abstractNumId w:val="16"/>
  </w:num>
  <w:num w:numId="6">
    <w:abstractNumId w:val="19"/>
  </w:num>
  <w:num w:numId="7">
    <w:abstractNumId w:val="14"/>
  </w:num>
  <w:num w:numId="8">
    <w:abstractNumId w:val="28"/>
  </w:num>
  <w:num w:numId="9">
    <w:abstractNumId w:val="30"/>
  </w:num>
  <w:num w:numId="10">
    <w:abstractNumId w:val="4"/>
  </w:num>
  <w:num w:numId="11">
    <w:abstractNumId w:val="24"/>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1"/>
  </w:num>
  <w:num w:numId="23">
    <w:abstractNumId w:val="7"/>
  </w:num>
  <w:num w:numId="24">
    <w:abstractNumId w:val="32"/>
  </w:num>
  <w:num w:numId="25">
    <w:abstractNumId w:val="33"/>
  </w:num>
  <w:num w:numId="26">
    <w:abstractNumId w:val="11"/>
  </w:num>
  <w:num w:numId="27">
    <w:abstractNumId w:val="13"/>
  </w:num>
  <w:num w:numId="28">
    <w:abstractNumId w:val="25"/>
  </w:num>
  <w:num w:numId="29">
    <w:abstractNumId w:val="26"/>
  </w:num>
  <w:num w:numId="30">
    <w:abstractNumId w:val="18"/>
  </w:num>
  <w:num w:numId="31">
    <w:abstractNumId w:val="2"/>
  </w:num>
  <w:num w:numId="32">
    <w:abstractNumId w:val="29"/>
  </w:num>
  <w:num w:numId="33">
    <w:abstractNumId w:val="0"/>
  </w:num>
  <w:num w:numId="34">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stin ASHUZA CIRUMANGA">
    <w15:presenceInfo w15:providerId="Windows Live" w15:userId="bc7ea57d64a55df9"/>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3C56"/>
    <w:rsid w:val="00066944"/>
    <w:rsid w:val="00071650"/>
    <w:rsid w:val="00071A55"/>
    <w:rsid w:val="00074662"/>
    <w:rsid w:val="0007651E"/>
    <w:rsid w:val="00083E65"/>
    <w:rsid w:val="00083F1B"/>
    <w:rsid w:val="00092D87"/>
    <w:rsid w:val="0009425F"/>
    <w:rsid w:val="0009761A"/>
    <w:rsid w:val="000A1426"/>
    <w:rsid w:val="000A5279"/>
    <w:rsid w:val="000B1177"/>
    <w:rsid w:val="000B1871"/>
    <w:rsid w:val="000B30D7"/>
    <w:rsid w:val="000B72FC"/>
    <w:rsid w:val="000B7ED6"/>
    <w:rsid w:val="000C5968"/>
    <w:rsid w:val="000C6B6A"/>
    <w:rsid w:val="000D3572"/>
    <w:rsid w:val="000D5C3A"/>
    <w:rsid w:val="000E32C8"/>
    <w:rsid w:val="000F0359"/>
    <w:rsid w:val="000F0943"/>
    <w:rsid w:val="00102923"/>
    <w:rsid w:val="001043C0"/>
    <w:rsid w:val="001072DD"/>
    <w:rsid w:val="001103F2"/>
    <w:rsid w:val="0011345D"/>
    <w:rsid w:val="0012747E"/>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113A"/>
    <w:rsid w:val="001864CD"/>
    <w:rsid w:val="00191C81"/>
    <w:rsid w:val="001A21FC"/>
    <w:rsid w:val="001A4BA8"/>
    <w:rsid w:val="001A70BF"/>
    <w:rsid w:val="001B354E"/>
    <w:rsid w:val="001B5A63"/>
    <w:rsid w:val="001C0CE1"/>
    <w:rsid w:val="001C62C6"/>
    <w:rsid w:val="001D6BDC"/>
    <w:rsid w:val="001D710E"/>
    <w:rsid w:val="001D7544"/>
    <w:rsid w:val="001D7603"/>
    <w:rsid w:val="001E1F11"/>
    <w:rsid w:val="001E6B90"/>
    <w:rsid w:val="001E6DEA"/>
    <w:rsid w:val="001F004B"/>
    <w:rsid w:val="001F0352"/>
    <w:rsid w:val="001F1CA8"/>
    <w:rsid w:val="001F50E4"/>
    <w:rsid w:val="0021553A"/>
    <w:rsid w:val="0022324D"/>
    <w:rsid w:val="00234506"/>
    <w:rsid w:val="00235CC9"/>
    <w:rsid w:val="0023606C"/>
    <w:rsid w:val="00241776"/>
    <w:rsid w:val="0025592E"/>
    <w:rsid w:val="00260489"/>
    <w:rsid w:val="00263928"/>
    <w:rsid w:val="002642C9"/>
    <w:rsid w:val="002670C3"/>
    <w:rsid w:val="002803FA"/>
    <w:rsid w:val="002873FF"/>
    <w:rsid w:val="0029203F"/>
    <w:rsid w:val="002928C3"/>
    <w:rsid w:val="00293A6F"/>
    <w:rsid w:val="0029570A"/>
    <w:rsid w:val="002A44C1"/>
    <w:rsid w:val="002A4C5A"/>
    <w:rsid w:val="002A5F18"/>
    <w:rsid w:val="002B0C80"/>
    <w:rsid w:val="002B2D69"/>
    <w:rsid w:val="002B5BE9"/>
    <w:rsid w:val="002C155B"/>
    <w:rsid w:val="002C57CB"/>
    <w:rsid w:val="002C79EE"/>
    <w:rsid w:val="002D6F42"/>
    <w:rsid w:val="002E47F8"/>
    <w:rsid w:val="002E4927"/>
    <w:rsid w:val="002E4A1B"/>
    <w:rsid w:val="002E650F"/>
    <w:rsid w:val="002E67F8"/>
    <w:rsid w:val="002F04ED"/>
    <w:rsid w:val="00301242"/>
    <w:rsid w:val="00303F2A"/>
    <w:rsid w:val="00307E12"/>
    <w:rsid w:val="00310159"/>
    <w:rsid w:val="003111E2"/>
    <w:rsid w:val="00311463"/>
    <w:rsid w:val="003128C1"/>
    <w:rsid w:val="00312A9E"/>
    <w:rsid w:val="003163DC"/>
    <w:rsid w:val="003241D9"/>
    <w:rsid w:val="003259A7"/>
    <w:rsid w:val="00325AC0"/>
    <w:rsid w:val="00326D03"/>
    <w:rsid w:val="00330A79"/>
    <w:rsid w:val="0033270E"/>
    <w:rsid w:val="003355E1"/>
    <w:rsid w:val="003370E9"/>
    <w:rsid w:val="00342DA4"/>
    <w:rsid w:val="00354784"/>
    <w:rsid w:val="00354C30"/>
    <w:rsid w:val="0035626A"/>
    <w:rsid w:val="003612B8"/>
    <w:rsid w:val="00361866"/>
    <w:rsid w:val="0036240C"/>
    <w:rsid w:val="003633C8"/>
    <w:rsid w:val="00370495"/>
    <w:rsid w:val="00372175"/>
    <w:rsid w:val="003767D3"/>
    <w:rsid w:val="00384271"/>
    <w:rsid w:val="00385F16"/>
    <w:rsid w:val="003923C0"/>
    <w:rsid w:val="003925B4"/>
    <w:rsid w:val="003966CA"/>
    <w:rsid w:val="003A11DD"/>
    <w:rsid w:val="003A3EC1"/>
    <w:rsid w:val="003A6B54"/>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6F12"/>
    <w:rsid w:val="0050700D"/>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C1B"/>
    <w:rsid w:val="00797B0A"/>
    <w:rsid w:val="007A4034"/>
    <w:rsid w:val="007A4E65"/>
    <w:rsid w:val="007A7363"/>
    <w:rsid w:val="007B0D84"/>
    <w:rsid w:val="007B41AF"/>
    <w:rsid w:val="007B681C"/>
    <w:rsid w:val="007D31EA"/>
    <w:rsid w:val="007D3925"/>
    <w:rsid w:val="007D60C8"/>
    <w:rsid w:val="007E276C"/>
    <w:rsid w:val="007E4534"/>
    <w:rsid w:val="007E79A6"/>
    <w:rsid w:val="007F0F6B"/>
    <w:rsid w:val="007F5877"/>
    <w:rsid w:val="00803668"/>
    <w:rsid w:val="0080613D"/>
    <w:rsid w:val="0081083C"/>
    <w:rsid w:val="00811409"/>
    <w:rsid w:val="00813C3C"/>
    <w:rsid w:val="0081545E"/>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25C8"/>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491A"/>
    <w:rsid w:val="009D138D"/>
    <w:rsid w:val="009D18F3"/>
    <w:rsid w:val="009D510C"/>
    <w:rsid w:val="009D656D"/>
    <w:rsid w:val="009D74F2"/>
    <w:rsid w:val="009E40F6"/>
    <w:rsid w:val="009E7416"/>
    <w:rsid w:val="009F035F"/>
    <w:rsid w:val="009F0F35"/>
    <w:rsid w:val="009F3477"/>
    <w:rsid w:val="00A0050C"/>
    <w:rsid w:val="00A00AC7"/>
    <w:rsid w:val="00A0383A"/>
    <w:rsid w:val="00A03CA0"/>
    <w:rsid w:val="00A05D07"/>
    <w:rsid w:val="00A06F37"/>
    <w:rsid w:val="00A07590"/>
    <w:rsid w:val="00A104C9"/>
    <w:rsid w:val="00A1677F"/>
    <w:rsid w:val="00A1725F"/>
    <w:rsid w:val="00A26D2B"/>
    <w:rsid w:val="00A30817"/>
    <w:rsid w:val="00A31FF2"/>
    <w:rsid w:val="00A330D7"/>
    <w:rsid w:val="00A373ED"/>
    <w:rsid w:val="00A3789B"/>
    <w:rsid w:val="00A4378D"/>
    <w:rsid w:val="00A44FFF"/>
    <w:rsid w:val="00A477D7"/>
    <w:rsid w:val="00A51E5B"/>
    <w:rsid w:val="00A52323"/>
    <w:rsid w:val="00A5659D"/>
    <w:rsid w:val="00A5695B"/>
    <w:rsid w:val="00A61E0D"/>
    <w:rsid w:val="00A635BF"/>
    <w:rsid w:val="00A651B8"/>
    <w:rsid w:val="00A66340"/>
    <w:rsid w:val="00A759EA"/>
    <w:rsid w:val="00A75F7A"/>
    <w:rsid w:val="00A80E96"/>
    <w:rsid w:val="00A82C11"/>
    <w:rsid w:val="00A8541E"/>
    <w:rsid w:val="00A93379"/>
    <w:rsid w:val="00A944A6"/>
    <w:rsid w:val="00A97FF5"/>
    <w:rsid w:val="00AA074A"/>
    <w:rsid w:val="00AA21AA"/>
    <w:rsid w:val="00AB5059"/>
    <w:rsid w:val="00AC5424"/>
    <w:rsid w:val="00AC5672"/>
    <w:rsid w:val="00AC7456"/>
    <w:rsid w:val="00AD0368"/>
    <w:rsid w:val="00AD3F8C"/>
    <w:rsid w:val="00AD5308"/>
    <w:rsid w:val="00AE0A30"/>
    <w:rsid w:val="00AE1652"/>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60C8"/>
    <w:rsid w:val="00D50884"/>
    <w:rsid w:val="00D53644"/>
    <w:rsid w:val="00D55130"/>
    <w:rsid w:val="00D55F2F"/>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D0EDD"/>
    <w:rsid w:val="00DD35FE"/>
    <w:rsid w:val="00DE6C18"/>
    <w:rsid w:val="00DE7569"/>
    <w:rsid w:val="00DF1BDF"/>
    <w:rsid w:val="00DF2B09"/>
    <w:rsid w:val="00DF644C"/>
    <w:rsid w:val="00E10630"/>
    <w:rsid w:val="00E120BA"/>
    <w:rsid w:val="00E13C1F"/>
    <w:rsid w:val="00E13C71"/>
    <w:rsid w:val="00E20C73"/>
    <w:rsid w:val="00E235FB"/>
    <w:rsid w:val="00E24540"/>
    <w:rsid w:val="00E251B1"/>
    <w:rsid w:val="00E331D5"/>
    <w:rsid w:val="00E414D7"/>
    <w:rsid w:val="00E42A8F"/>
    <w:rsid w:val="00E439C1"/>
    <w:rsid w:val="00E5095B"/>
    <w:rsid w:val="00E51B06"/>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Emphase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UnresolvedMention">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Emphase">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Emphaseple">
    <w:name w:val="Subtle Emphasis"/>
    <w:uiPriority w:val="19"/>
    <w:qFormat/>
    <w:rsid w:val="00DF644C"/>
    <w:rPr>
      <w:i/>
      <w:iCs/>
      <w:color w:val="1F3763" w:themeColor="accent1" w:themeShade="7F"/>
    </w:rPr>
  </w:style>
  <w:style w:type="character" w:styleId="Rfrencepl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e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footer" Target="footer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2.xml"/><Relationship Id="rId71" Type="http://schemas.openxmlformats.org/officeDocument/2006/relationships/fontTable" Target="fontTable.xml"/><Relationship Id="rId72" Type="http://schemas.microsoft.com/office/2011/relationships/people" Target="peop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74" Type="http://schemas.microsoft.com/office/2018/08/relationships/commentsExtensible" Target="commentsExtensible.xml"/><Relationship Id="rId75" Type="http://schemas.microsoft.com/office/2016/09/relationships/commentsIds" Target="commentsIds.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1" Type="http://schemas.openxmlformats.org/officeDocument/2006/relationships/hyperlink" Target="https://www.insee.fr/fr/metadonnees/definition/c1374" TargetMode="External"/><Relationship Id="rId12" Type="http://schemas.openxmlformats.org/officeDocument/2006/relationships/hyperlink" Target="https://www.ncbi.nlm.nih.gov/pmc/articles/PMC4328740/pdf/embr0016-0137.pdf" TargetMode="External"/><Relationship Id="rId13" Type="http://schemas.openxmlformats.org/officeDocument/2006/relationships/hyperlink" Target="https://www.naic.org/cipr_topics/topic_longevity_risk.htm" TargetMode="External"/><Relationship Id="rId14" Type="http://schemas.openxmlformats.org/officeDocument/2006/relationships/hyperlink" Target="https://stats.oecd.org" TargetMode="External"/><Relationship Id="rId15" Type="http://schemas.openxmlformats.org/officeDocument/2006/relationships/hyperlink" Target="https://www.insee.fr/fr/metadonnees/definition/c1473"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7" Type="http://schemas.openxmlformats.org/officeDocument/2006/relationships/hyperlink" Target="https://data.worldbank.org/indicator/SE.ADT.LITR.ZS" TargetMode="External"/><Relationship Id="rId18" Type="http://schemas.openxmlformats.org/officeDocument/2006/relationships/hyperlink" Target="https://www.futura-sciences.com/planete/definitions/developpement-durable-pib-6295/" TargetMode="External"/><Relationship Id="rId19" Type="http://schemas.openxmlformats.org/officeDocument/2006/relationships/hyperlink" Target="https://cran.r-project.org/web/packages/pls/vignettes/pls-manual.pdf" TargetMode="External"/><Relationship Id="rId1" Type="http://schemas.openxmlformats.org/officeDocument/2006/relationships/hyperlink" Target="https://halshs.archives-ouvertes.fr/halshs-00655657/document" TargetMode="External"/><Relationship Id="rId2" Type="http://schemas.openxmlformats.org/officeDocument/2006/relationships/hyperlink" Target="http://www.cor-retraites.fr/IMG/pdf/doc-3178.pdf"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4" Type="http://schemas.openxmlformats.org/officeDocument/2006/relationships/hyperlink" Target="https://pdfs.semanticscholar.org/36f8/b2b87f98257f82964cc20b86443df2dfff20.pdf" TargetMode="External"/><Relationship Id="rId5" Type="http://schemas.openxmlformats.org/officeDocument/2006/relationships/hyperlink" Target="https://pdfs.semanticscholar.org/36f8/b2b87f98257f82964cc20b86443df2dfff20.pdf" TargetMode="External"/><Relationship Id="rId6" Type="http://schemas.openxmlformats.org/officeDocument/2006/relationships/hyperlink" Target="https://pdfs.semanticscholar.org/36f8/b2b87f98257f82964cc20b86443df2dfff20.pdf" TargetMode="External"/><Relationship Id="rId7" Type="http://schemas.openxmlformats.org/officeDocument/2006/relationships/hyperlink" Target="https://stats.oecd.org" TargetMode="External"/><Relationship Id="rId8" Type="http://schemas.openxmlformats.org/officeDocument/2006/relationships/hyperlink" Target="https://data.worldbank.org/indicator/SE.ADT.LITR.ZS" TargetMode="External"/><Relationship Id="rId9" Type="http://schemas.openxmlformats.org/officeDocument/2006/relationships/hyperlink" Target="https://a2ii.org/sites/default/files/reports/21._consultation_call_fr_web.pdf" TargetMode="External"/><Relationship Id="rId10" Type="http://schemas.openxmlformats.org/officeDocument/2006/relationships/hyperlink" Target="https://ec.europa.eu/eurostat/statistics-explained/index.php?title=Healthy_life_years_statistic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D1035586-9A79-7A44-8CBD-244576DC8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3108</TotalTime>
  <Pages>58</Pages>
  <Words>9795</Words>
  <Characters>53876</Characters>
  <Application>Microsoft Macintosh Word</Application>
  <DocSecurity>0</DocSecurity>
  <Lines>448</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Nadia GHERNAOUT</cp:lastModifiedBy>
  <cp:revision>283</cp:revision>
  <cp:lastPrinted>2018-10-18T15:19:00Z</cp:lastPrinted>
  <dcterms:created xsi:type="dcterms:W3CDTF">2020-03-18T17:39:00Z</dcterms:created>
  <dcterms:modified xsi:type="dcterms:W3CDTF">2020-04-28T11:51:00Z</dcterms:modified>
</cp:coreProperties>
</file>